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10773"/>
      </w:tblGrid>
      <w:tr w:rsidR="00F1551B" w:rsidTr="00F1551B">
        <w:trPr>
          <w:trHeight w:val="481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B" w:rsidRDefault="00F1551B" w:rsidP="007E0722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0071" w:type="dxa"/>
              <w:tblLook w:val="04A0" w:firstRow="1" w:lastRow="0" w:firstColumn="1" w:lastColumn="0" w:noHBand="0" w:noVBand="1"/>
            </w:tblPr>
            <w:tblGrid>
              <w:gridCol w:w="4624"/>
              <w:gridCol w:w="5447"/>
            </w:tblGrid>
            <w:tr w:rsidR="00F1551B" w:rsidTr="00F1551B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51B" w:rsidRDefault="00F1551B" w:rsidP="007E0722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 wp14:anchorId="06E7E4A6" wp14:editId="093B672F">
                        <wp:extent cx="2743200" cy="1704975"/>
                        <wp:effectExtent l="0" t="0" r="0" b="9525"/>
                        <wp:docPr id="1" name="Рисунок 1" descr="http://www.eseur.ru/Images/hot416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seur.ru/Images/hot416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551B" w:rsidRPr="00F1551B" w:rsidRDefault="00F1551B" w:rsidP="00F1551B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F1551B" w:rsidRDefault="00F1551B" w:rsidP="007E072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F1551B" w:rsidRPr="00F1551B" w:rsidRDefault="00F1551B" w:rsidP="00F1551B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F1551B" w:rsidRDefault="00F1551B" w:rsidP="007E0722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№3</w:t>
                  </w:r>
                  <w:r>
                    <w:rPr>
                      <w:sz w:val="32"/>
                      <w:szCs w:val="32"/>
                      <w:lang w:eastAsia="en-US"/>
                    </w:rPr>
                    <w:t>0.</w:t>
                  </w:r>
                </w:p>
                <w:p w:rsidR="00F1551B" w:rsidRDefault="00F1551B" w:rsidP="007E0722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F1551B" w:rsidRDefault="00F1551B" w:rsidP="007E0722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ГИТ информирует.</w:t>
                  </w:r>
                </w:p>
              </w:tc>
            </w:tr>
          </w:tbl>
          <w:p w:rsidR="00F1551B" w:rsidRDefault="00F1551B" w:rsidP="007E0722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1551B" w:rsidTr="00F1551B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B" w:rsidRPr="00F1551B" w:rsidRDefault="00F1551B" w:rsidP="007E0722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u w:val="single"/>
              </w:rPr>
            </w:pPr>
          </w:p>
          <w:p w:rsidR="00F1551B" w:rsidRPr="00F1551B" w:rsidRDefault="00F1551B" w:rsidP="00F1551B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u w:val="single"/>
              </w:rPr>
            </w:pPr>
            <w:r w:rsidRPr="00F1551B">
              <w:rPr>
                <w:rFonts w:ascii="Verdana" w:hAnsi="Verdana"/>
                <w:b/>
                <w:bCs/>
                <w:color w:val="020C22"/>
                <w:lang w:eastAsia="ru-RU"/>
              </w:rPr>
              <w:t>Можно ли знакомить работников с ЛНА электронными способами: инспектор ГИТ п</w:t>
            </w:r>
            <w:r w:rsidRPr="00F1551B">
              <w:rPr>
                <w:rFonts w:ascii="Verdana" w:hAnsi="Verdana"/>
                <w:b/>
                <w:bCs/>
                <w:color w:val="020C22"/>
                <w:lang w:eastAsia="ru-RU"/>
              </w:rPr>
              <w:t>роанализировал судебную практик</w:t>
            </w:r>
          </w:p>
          <w:p w:rsidR="00F1551B" w:rsidRPr="00F1551B" w:rsidRDefault="00F1551B" w:rsidP="00F1551B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  <w:r w:rsidRPr="00F1551B">
              <w:rPr>
                <w:rFonts w:ascii="Verdana" w:hAnsi="Verdana" w:cs="Verdana"/>
                <w:b/>
                <w:u w:val="single"/>
              </w:rPr>
              <w:t>Риски:</w:t>
            </w:r>
            <w:r w:rsidRPr="00F1551B">
              <w:rPr>
                <w:rFonts w:ascii="Verdana" w:hAnsi="Verdana" w:cs="Verdana"/>
              </w:rPr>
              <w:t xml:space="preserve"> ТК РФ прямо не предусматривает возможности ознакомления работников ЛНА с помощью электронной почты или других сервисов, но при любом варианте работники должны быть ознакомлены с ЛНА под подпись.</w:t>
            </w:r>
          </w:p>
          <w:p w:rsidR="00F1551B" w:rsidRPr="00F1551B" w:rsidRDefault="00F1551B" w:rsidP="00F1551B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  <w:r w:rsidRPr="00F1551B">
              <w:rPr>
                <w:rFonts w:ascii="Verdana" w:hAnsi="Verdana" w:cs="Verdana"/>
              </w:rPr>
              <w:t>Работники должны быть ознакомлены под подпись со всеми ЛНА, принимаемыми в организации и непосредственно связанными с их трудовой деятельностью (</w:t>
            </w:r>
            <w:proofErr w:type="spellStart"/>
            <w:r w:rsidRPr="00F1551B">
              <w:rPr>
                <w:rFonts w:ascii="Verdana" w:hAnsi="Verdana" w:cs="Verdana"/>
              </w:rPr>
              <w:fldChar w:fldCharType="begin"/>
            </w:r>
            <w:r w:rsidRPr="00F1551B">
              <w:rPr>
                <w:rFonts w:ascii="Verdana" w:hAnsi="Verdana" w:cs="Verdana"/>
              </w:rPr>
              <w:instrText xml:space="preserve">HYPERLINK consultantplus://offline/ref=BCB2FBE9B69249BADB41ECED6896315608422D6798D4191D2600A74E6E625FD842EF2002C657479CF3ABB20F9B350A3B6300955AF9HBeBO </w:instrText>
            </w:r>
            <w:r w:rsidRPr="00F1551B">
              <w:rPr>
                <w:rFonts w:ascii="Verdana" w:hAnsi="Verdana" w:cs="Verdana"/>
              </w:rPr>
              <w:fldChar w:fldCharType="separate"/>
            </w:r>
            <w:r w:rsidRPr="00F1551B">
              <w:rPr>
                <w:rFonts w:ascii="Verdana" w:hAnsi="Verdana" w:cs="Verdana"/>
                <w:color w:val="0000FF"/>
              </w:rPr>
              <w:t>абз</w:t>
            </w:r>
            <w:proofErr w:type="spellEnd"/>
            <w:r w:rsidRPr="00F1551B">
              <w:rPr>
                <w:rFonts w:ascii="Verdana" w:hAnsi="Verdana" w:cs="Verdana"/>
                <w:color w:val="0000FF"/>
              </w:rPr>
              <w:t>. 10 ч. 2 ст. 22</w:t>
            </w:r>
            <w:r w:rsidRPr="00F1551B">
              <w:rPr>
                <w:rFonts w:ascii="Verdana" w:hAnsi="Verdana" w:cs="Verdana"/>
              </w:rPr>
              <w:fldChar w:fldCharType="end"/>
            </w:r>
            <w:r w:rsidRPr="00F1551B">
              <w:rPr>
                <w:rFonts w:ascii="Verdana" w:hAnsi="Verdana" w:cs="Verdana"/>
              </w:rPr>
              <w:t xml:space="preserve"> ТК РФ). В частности, это </w:t>
            </w:r>
            <w:hyperlink r:id="rId5" w:history="1">
              <w:r w:rsidRPr="00F1551B">
                <w:rPr>
                  <w:rStyle w:val="a4"/>
                  <w:rFonts w:ascii="Verdana" w:hAnsi="Verdana" w:cs="Verdana"/>
                </w:rPr>
                <w:t>нужно сделать</w:t>
              </w:r>
            </w:hyperlink>
            <w:r w:rsidRPr="00F1551B">
              <w:rPr>
                <w:rFonts w:ascii="Verdana" w:hAnsi="Verdana" w:cs="Verdana"/>
              </w:rPr>
              <w:t xml:space="preserve"> при приеме на работу до подписания трудового договора.</w:t>
            </w:r>
          </w:p>
          <w:p w:rsidR="00F1551B" w:rsidRPr="00F1551B" w:rsidRDefault="00F1551B" w:rsidP="00F1551B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  <w:r w:rsidRPr="00F1551B">
              <w:rPr>
                <w:rFonts w:ascii="Verdana" w:hAnsi="Verdana" w:cs="Verdana"/>
              </w:rPr>
              <w:t>Для дистанционных работников законодательство прямо предусматривает ознакомление с ЛНА путем обмена электронными документами (</w:t>
            </w:r>
            <w:hyperlink r:id="rId6" w:history="1">
              <w:r w:rsidRPr="00F1551B">
                <w:rPr>
                  <w:rFonts w:ascii="Verdana" w:hAnsi="Verdana" w:cs="Verdana"/>
                  <w:color w:val="0000FF"/>
                </w:rPr>
                <w:t>ч. 5 ст. 312.1</w:t>
              </w:r>
            </w:hyperlink>
            <w:r w:rsidRPr="00F1551B">
              <w:rPr>
                <w:rFonts w:ascii="Verdana" w:hAnsi="Verdana" w:cs="Verdana"/>
              </w:rPr>
              <w:t xml:space="preserve"> ТК РФ).</w:t>
            </w:r>
          </w:p>
          <w:p w:rsidR="00F1551B" w:rsidRPr="00F1551B" w:rsidRDefault="00F1551B" w:rsidP="00F1551B">
            <w:pPr>
              <w:pStyle w:val="a5"/>
              <w:spacing w:before="0" w:beforeAutospacing="0" w:after="0" w:afterAutospacing="0"/>
              <w:jc w:val="both"/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  <w:r w:rsidRPr="00F1551B">
              <w:rPr>
                <w:rFonts w:ascii="Verdana" w:hAnsi="Verdana"/>
                <w:bCs/>
                <w:sz w:val="22"/>
                <w:szCs w:val="22"/>
                <w:lang w:eastAsia="en-US"/>
              </w:rPr>
              <w:t xml:space="preserve">Представитель ГИТ в своей консультации </w:t>
            </w:r>
            <w:hyperlink r:id="rId7" w:history="1">
              <w:r w:rsidRPr="00F1551B">
                <w:rPr>
                  <w:rStyle w:val="a4"/>
                  <w:rFonts w:ascii="Verdana" w:hAnsi="Verdana"/>
                  <w:bCs/>
                  <w:sz w:val="22"/>
                  <w:szCs w:val="22"/>
                  <w:lang w:eastAsia="en-US"/>
                </w:rPr>
                <w:t>делает вывод</w:t>
              </w:r>
            </w:hyperlink>
            <w:r w:rsidRPr="00F1551B">
              <w:rPr>
                <w:rFonts w:ascii="Verdana" w:hAnsi="Verdana"/>
                <w:bCs/>
                <w:sz w:val="22"/>
                <w:szCs w:val="22"/>
                <w:lang w:eastAsia="en-US"/>
              </w:rPr>
              <w:t>, что в общем случае трудовое законодательство предусматривает именно ознакомление работника с ЛНА под подпись, направления текста ЛНА работнику недостаточно.</w:t>
            </w:r>
          </w:p>
          <w:p w:rsidR="00F1551B" w:rsidRPr="00F1551B" w:rsidRDefault="00F1551B" w:rsidP="00F1551B">
            <w:pPr>
              <w:pStyle w:val="a5"/>
              <w:spacing w:before="0" w:beforeAutospacing="0" w:after="0" w:afterAutospacing="0"/>
              <w:jc w:val="both"/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  <w:r w:rsidRPr="00F1551B">
              <w:rPr>
                <w:rFonts w:ascii="Verdana" w:hAnsi="Verdana"/>
                <w:bCs/>
                <w:sz w:val="22"/>
                <w:szCs w:val="22"/>
                <w:lang w:eastAsia="en-US"/>
              </w:rPr>
              <w:t>При этом суды в некоторых случаях признают возможным ознакомление работников с ЛНА в электронном виде. Эксперт ГИТ проанализировал судебную практику по данному вопросу:</w:t>
            </w:r>
          </w:p>
          <w:p w:rsidR="00F1551B" w:rsidRPr="00F1551B" w:rsidRDefault="00F1551B" w:rsidP="00F1551B">
            <w:pPr>
              <w:pStyle w:val="a5"/>
              <w:spacing w:before="0" w:beforeAutospacing="0" w:after="0" w:afterAutospacing="0"/>
              <w:jc w:val="both"/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  <w:r w:rsidRPr="00F1551B">
              <w:rPr>
                <w:rFonts w:ascii="Verdana" w:hAnsi="Verdana"/>
                <w:sz w:val="22"/>
                <w:szCs w:val="22"/>
              </w:rPr>
              <w:t>–</w:t>
            </w:r>
            <w:r w:rsidRPr="00F1551B">
              <w:rPr>
                <w:rFonts w:ascii="Verdana" w:hAnsi="Verdana"/>
                <w:bCs/>
                <w:sz w:val="22"/>
                <w:szCs w:val="22"/>
                <w:lang w:eastAsia="en-US"/>
              </w:rPr>
              <w:t xml:space="preserve"> В ПВТР, с которыми работник был ознакомлен под подпись, содержался пункт, в соответствии с которым работники обязаны регулярно знакомиться с обновлениями внутренних приказов, политик, правил, размещенных в электронной базе и на интернет-портале. Суд </w:t>
            </w:r>
            <w:hyperlink r:id="rId8" w:history="1">
              <w:r w:rsidRPr="00F1551B">
                <w:rPr>
                  <w:rStyle w:val="a4"/>
                  <w:rFonts w:ascii="Verdana" w:hAnsi="Verdana"/>
                  <w:bCs/>
                  <w:sz w:val="22"/>
                  <w:szCs w:val="22"/>
                  <w:lang w:eastAsia="en-US"/>
                </w:rPr>
                <w:t>признал</w:t>
              </w:r>
            </w:hyperlink>
            <w:r w:rsidRPr="00F1551B">
              <w:rPr>
                <w:rFonts w:ascii="Verdana" w:hAnsi="Verdana"/>
                <w:bCs/>
                <w:sz w:val="22"/>
                <w:szCs w:val="22"/>
                <w:lang w:eastAsia="en-US"/>
              </w:rPr>
              <w:t xml:space="preserve"> надлежащим такой порядок доведения до сведения работников информации, касающейся выполнения ими трудовых обязанностей.</w:t>
            </w:r>
          </w:p>
          <w:p w:rsidR="00F1551B" w:rsidRPr="00F1551B" w:rsidRDefault="00F1551B" w:rsidP="00F1551B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  <w:r w:rsidRPr="00F1551B">
              <w:rPr>
                <w:rFonts w:ascii="Verdana" w:hAnsi="Verdana"/>
              </w:rPr>
              <w:t>–</w:t>
            </w:r>
            <w:r w:rsidRPr="00F1551B">
              <w:rPr>
                <w:rFonts w:ascii="Verdana" w:hAnsi="Verdana" w:cs="Verdana"/>
              </w:rPr>
              <w:t xml:space="preserve"> Если работодатель применяет в работе систему электронного документооборота, то ознакомление работников с ЛНА в данной системе в полной мере </w:t>
            </w:r>
            <w:hyperlink r:id="rId9" w:history="1">
              <w:r w:rsidRPr="00F1551B">
                <w:rPr>
                  <w:rStyle w:val="a4"/>
                  <w:rFonts w:ascii="Verdana" w:hAnsi="Verdana" w:cs="Verdana"/>
                </w:rPr>
                <w:t>соответствует</w:t>
              </w:r>
            </w:hyperlink>
            <w:r w:rsidRPr="00F1551B">
              <w:rPr>
                <w:rFonts w:ascii="Verdana" w:hAnsi="Verdana" w:cs="Verdana"/>
              </w:rPr>
              <w:t xml:space="preserve"> требованиям закона. Впоследствии работники не вправе ссылаться на факт </w:t>
            </w:r>
            <w:proofErr w:type="spellStart"/>
            <w:r w:rsidRPr="00F1551B">
              <w:rPr>
                <w:rFonts w:ascii="Verdana" w:hAnsi="Verdana" w:cs="Verdana"/>
              </w:rPr>
              <w:t>неознакомления</w:t>
            </w:r>
            <w:proofErr w:type="spellEnd"/>
            <w:r w:rsidRPr="00F1551B">
              <w:rPr>
                <w:rFonts w:ascii="Verdana" w:hAnsi="Verdana" w:cs="Verdana"/>
              </w:rPr>
              <w:t xml:space="preserve"> с ЛНА. При этом работодателю нужно иметь документ, подтверждающий введение такой системы и описывающий порядок работы с ней.</w:t>
            </w:r>
          </w:p>
          <w:p w:rsidR="00F1551B" w:rsidRPr="00F1551B" w:rsidRDefault="00F1551B" w:rsidP="00F1551B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  <w:r w:rsidRPr="00F1551B">
              <w:rPr>
                <w:rFonts w:ascii="Verdana" w:hAnsi="Verdana" w:cs="Verdana"/>
              </w:rPr>
              <w:lastRenderedPageBreak/>
              <w:t>Таким образом, чтобы узаконить порядок ознакомления с ЛНА путем обмена электронными документами или использования электронных сервисов, нужно включить указанные положения в трудовые договоры, либо в коллективный договор, либо в локальный нормативный акт.</w:t>
            </w:r>
          </w:p>
          <w:p w:rsidR="00F1551B" w:rsidRPr="00F1551B" w:rsidRDefault="00F1551B" w:rsidP="00F1551B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  <w:r w:rsidRPr="00F1551B">
              <w:rPr>
                <w:rFonts w:ascii="Verdana" w:hAnsi="Verdana" w:cs="Verdana"/>
              </w:rPr>
              <w:t xml:space="preserve">При этом существует также </w:t>
            </w:r>
            <w:hyperlink r:id="rId10" w:history="1">
              <w:r w:rsidRPr="00F1551B">
                <w:rPr>
                  <w:rStyle w:val="a4"/>
                  <w:rFonts w:ascii="Verdana" w:hAnsi="Verdana" w:cs="Verdana"/>
                </w:rPr>
                <w:t>позиция</w:t>
              </w:r>
            </w:hyperlink>
            <w:r w:rsidRPr="00F1551B">
              <w:rPr>
                <w:rFonts w:ascii="Verdana" w:hAnsi="Verdana" w:cs="Verdana"/>
              </w:rPr>
              <w:t xml:space="preserve"> суда, что обязанность по ознакомлению не исполнена в случае, если документы были направлены по электронной почте. Поскольку работодатель не смог доказать факт ознакомления с ЛНА работника под подпись и работник был ознакомлен с документами по электронной почте.</w:t>
            </w:r>
          </w:p>
          <w:p w:rsidR="00F1551B" w:rsidRPr="00F1551B" w:rsidRDefault="00F1551B" w:rsidP="00F1551B"/>
          <w:p w:rsidR="00F1551B" w:rsidRPr="00F1551B" w:rsidRDefault="00F1551B" w:rsidP="00F1551B">
            <w:pPr>
              <w:rPr>
                <w:rFonts w:ascii="Verdana" w:hAnsi="Verdana" w:cs="Verdana"/>
                <w:b/>
                <w:bCs/>
              </w:rPr>
            </w:pPr>
            <w:r w:rsidRPr="00F1551B">
              <w:rPr>
                <w:rFonts w:ascii="Verdana" w:hAnsi="Verdana" w:cs="Verdana"/>
                <w:b/>
                <w:bCs/>
              </w:rPr>
              <w:t>Директор, находясь в отпуске, подписывает документы: могут ли оштрафовать за нарушение трудового законодательства</w:t>
            </w:r>
          </w:p>
          <w:p w:rsidR="00F1551B" w:rsidRPr="00F1551B" w:rsidRDefault="00F1551B" w:rsidP="00F1551B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  <w:r w:rsidRPr="00F1551B">
              <w:rPr>
                <w:rFonts w:ascii="Verdana" w:hAnsi="Verdana" w:cs="Verdana"/>
                <w:b/>
                <w:u w:val="single"/>
              </w:rPr>
              <w:t>Риски:</w:t>
            </w:r>
            <w:r w:rsidRPr="00F1551B">
              <w:rPr>
                <w:rFonts w:ascii="Verdana" w:hAnsi="Verdana" w:cs="Verdana"/>
              </w:rPr>
              <w:t xml:space="preserve"> по мнению инспектора ГИТ, как работодателя, так и самого директора могут привлечь к административной ответственности за нарушение режима труда и отдыха, если директор, находясь в отпуске, подписывает документы.</w:t>
            </w:r>
          </w:p>
          <w:p w:rsidR="00F1551B" w:rsidRPr="00F1551B" w:rsidRDefault="00F1551B" w:rsidP="00F1551B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  <w:r w:rsidRPr="00F1551B">
              <w:rPr>
                <w:rFonts w:ascii="Verdana" w:hAnsi="Verdana" w:cs="Verdana"/>
              </w:rPr>
              <w:t xml:space="preserve">Представитель региональной ГИТ </w:t>
            </w:r>
            <w:hyperlink r:id="rId11" w:history="1">
              <w:r w:rsidRPr="00F1551B">
                <w:rPr>
                  <w:rStyle w:val="a4"/>
                  <w:rFonts w:ascii="Verdana" w:hAnsi="Verdana" w:cs="Verdana"/>
                </w:rPr>
                <w:t>разъясняет</w:t>
              </w:r>
            </w:hyperlink>
            <w:r w:rsidRPr="00F1551B">
              <w:rPr>
                <w:rFonts w:ascii="Verdana" w:hAnsi="Verdana" w:cs="Verdana"/>
              </w:rPr>
              <w:t>, что на директора распространяются нормы трудового законодательства, в частности, об отпуске, поэтому он, как и другие работники, находясь в отпуске, не должен выполнять свои трудовые обязанности. Поэтому, с точки зрения трудового законодательства, он не вправе подписывать договоры, издавать приказы и распоряжения, так как все это является частью его трудовых обязанностей.</w:t>
            </w:r>
          </w:p>
          <w:p w:rsidR="00F1551B" w:rsidRPr="00F1551B" w:rsidRDefault="00F1551B" w:rsidP="00F1551B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  <w:r w:rsidRPr="00F1551B">
              <w:rPr>
                <w:rFonts w:ascii="Verdana" w:hAnsi="Verdana" w:cs="Verdana"/>
              </w:rPr>
              <w:t>То есть на время ежегодного оплачиваемого отпуска директора следует назначить исполняющего его обязанности вне зависимости от численности (штата) организации.</w:t>
            </w:r>
          </w:p>
          <w:p w:rsidR="00F1551B" w:rsidRPr="00F1551B" w:rsidRDefault="00F1551B" w:rsidP="00F1551B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  <w:r w:rsidRPr="00F1551B">
              <w:rPr>
                <w:rFonts w:ascii="Verdana" w:hAnsi="Verdana" w:cs="Verdana"/>
              </w:rPr>
              <w:t xml:space="preserve">Кроме того, трудовой инспектор отметил, что директор как должностное лицо может быть привлечен к административной ответственности за нарушения законодательства как в отношении работников организации, так и в отношении себя самого. В частности, несоблюдение требований ТК РФ об ответственности по </w:t>
            </w:r>
            <w:hyperlink r:id="rId12" w:history="1">
              <w:r w:rsidRPr="00F1551B">
                <w:rPr>
                  <w:rStyle w:val="a4"/>
                  <w:rFonts w:ascii="Verdana" w:hAnsi="Verdana" w:cs="Verdana"/>
                </w:rPr>
                <w:t>ч.</w:t>
              </w:r>
              <w:bookmarkStart w:id="0" w:name="_GoBack"/>
              <w:bookmarkEnd w:id="0"/>
              <w:r w:rsidRPr="00F1551B">
                <w:rPr>
                  <w:rStyle w:val="a4"/>
                  <w:rFonts w:ascii="Verdana" w:hAnsi="Verdana" w:cs="Verdana"/>
                </w:rPr>
                <w:t xml:space="preserve"> 1 ст. 5.27</w:t>
              </w:r>
            </w:hyperlink>
            <w:r w:rsidRPr="00F1551B">
              <w:rPr>
                <w:rFonts w:ascii="Verdana" w:hAnsi="Verdana" w:cs="Verdana"/>
              </w:rPr>
              <w:t xml:space="preserve"> КоАП РФ (на должностных лиц от 1 000 до 5 000 руб., на </w:t>
            </w:r>
            <w:proofErr w:type="spellStart"/>
            <w:r w:rsidRPr="00F1551B">
              <w:rPr>
                <w:rFonts w:ascii="Verdana" w:hAnsi="Verdana" w:cs="Verdana"/>
              </w:rPr>
              <w:t>юрлиц</w:t>
            </w:r>
            <w:proofErr w:type="spellEnd"/>
            <w:r w:rsidRPr="00F1551B">
              <w:rPr>
                <w:rFonts w:ascii="Verdana" w:hAnsi="Verdana" w:cs="Verdana"/>
              </w:rPr>
              <w:t xml:space="preserve"> – от 30 000 до 50 000 руб.).</w:t>
            </w:r>
          </w:p>
          <w:p w:rsidR="00F1551B" w:rsidRPr="00F1551B" w:rsidRDefault="00F1551B" w:rsidP="00F1551B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  <w:r w:rsidRPr="00F1551B">
              <w:rPr>
                <w:rFonts w:ascii="Verdana" w:hAnsi="Verdana" w:cs="Verdana"/>
              </w:rPr>
              <w:t xml:space="preserve">При этом следует учитывать, что при рассмотрении споров суды допускают оформление документов директором, находящимся в отпуске (например, см. </w:t>
            </w:r>
            <w:hyperlink r:id="rId13" w:history="1">
              <w:r w:rsidRPr="00F1551B">
                <w:rPr>
                  <w:rFonts w:ascii="Verdana" w:hAnsi="Verdana" w:cs="Verdana"/>
                  <w:color w:val="0000FF"/>
                </w:rPr>
                <w:t>Определение</w:t>
              </w:r>
            </w:hyperlink>
            <w:r w:rsidRPr="00F1551B">
              <w:rPr>
                <w:rFonts w:ascii="Verdana" w:hAnsi="Verdana" w:cs="Verdana"/>
              </w:rPr>
              <w:t xml:space="preserve"> ВАС РФ от 24.11.2009 N ВАС-15541/09, </w:t>
            </w:r>
            <w:hyperlink r:id="rId14" w:history="1">
              <w:r w:rsidRPr="00F1551B">
                <w:rPr>
                  <w:rFonts w:ascii="Verdana" w:hAnsi="Verdana" w:cs="Verdana"/>
                  <w:color w:val="0000FF"/>
                </w:rPr>
                <w:t>Постановление</w:t>
              </w:r>
            </w:hyperlink>
            <w:r w:rsidRPr="00F1551B">
              <w:rPr>
                <w:rFonts w:ascii="Verdana" w:hAnsi="Verdana" w:cs="Verdana"/>
              </w:rPr>
              <w:t xml:space="preserve"> Пятнадцатого арбитражного апелляционного суда от 04.10.2016 N 15АП-13294/2016).</w:t>
            </w:r>
          </w:p>
          <w:p w:rsidR="00F1551B" w:rsidRPr="00F1551B" w:rsidRDefault="00F1551B" w:rsidP="00F1551B"/>
          <w:p w:rsidR="00F1551B" w:rsidRPr="00F1551B" w:rsidRDefault="00F1551B" w:rsidP="007E0722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u w:val="single"/>
              </w:rPr>
            </w:pPr>
          </w:p>
        </w:tc>
      </w:tr>
      <w:tr w:rsidR="00F1551B" w:rsidTr="00F1551B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B" w:rsidRDefault="00F1551B" w:rsidP="007E07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Калужская областная организация Профсоюза работников народного образования и науки РФ</w:t>
            </w:r>
          </w:p>
          <w:p w:rsidR="00F1551B" w:rsidRDefault="00F1551B" w:rsidP="007E07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F1551B" w:rsidRDefault="00F1551B" w:rsidP="007E07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август</w:t>
            </w:r>
            <w:r>
              <w:rPr>
                <w:rFonts w:ascii="Arial" w:hAnsi="Arial" w:cs="Arial"/>
                <w:b/>
                <w:sz w:val="18"/>
                <w:szCs w:val="18"/>
              </w:rPr>
              <w:t>, 2019</w:t>
            </w:r>
          </w:p>
          <w:p w:rsidR="00F1551B" w:rsidRDefault="00F1551B" w:rsidP="007E07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D0F3C" w:rsidRDefault="004D0F3C"/>
    <w:sectPr w:rsidR="004D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1B"/>
    <w:rsid w:val="004D0F3C"/>
    <w:rsid w:val="00F1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00E3"/>
  <w15:chartTrackingRefBased/>
  <w15:docId w15:val="{A59DFF91-2B17-4EAF-A252-4C6AC15E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F1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51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1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D0BEB8EB5966FA85B41A11988787629862277C8ADFDC5F28078C58828520783D12599B689798425DB8994E20199A2A3C3A4443DD97F54C3Ft719O" TargetMode="External"/><Relationship Id="rId13" Type="http://schemas.openxmlformats.org/officeDocument/2006/relationships/hyperlink" Target="consultantplus://offline/ref=CBF69B772A5AB6465A6998E8A1DD5DF1EA16F990C128F96462B77587740989725DAD2572C951D8C14911739F46ED0BF599A5C303D7AD9724JFn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4DA96FF790969DC3F5657659D3D17A83D89AC849D7801140D4095117EE7DD10E8CEBDF15554B3C18EB359AC9D4F399F6F54F63CCFC9129364Er3k3O" TargetMode="External"/><Relationship Id="rId12" Type="http://schemas.openxmlformats.org/officeDocument/2006/relationships/hyperlink" Target="consultantplus://offline/ref=3A447FB447EC7061B97340D86F27EBF1C64F381639F7E4FCC442B641994EC353A89E1CC327EF0B603FDE3198B699C5FCE634EF24161AcFZ6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3DEC4C4363357DD79D7E48E39DB0766E9AB999D8EF6B3C1733C0C6E42FE91C2CE0CA2B64B8F6CAF27CA59C7E548B71343D097A1C38zFhDO" TargetMode="External"/><Relationship Id="rId11" Type="http://schemas.openxmlformats.org/officeDocument/2006/relationships/hyperlink" Target="consultantplus://offline/ref=FA0DA5A34052B7A61654503367865F4FF73F8AC29BD65FF8E183929C3624DFF3A9C70D7C4CF56F47D3B519AEA87BB31C46730F83D5E07EE808052ET7K" TargetMode="External"/><Relationship Id="rId5" Type="http://schemas.openxmlformats.org/officeDocument/2006/relationships/hyperlink" Target="consultantplus://offline/ref=339FF1C07F854BF02473612AB769CC9B6D891A4FEE814EF723BA1753B5EA2C8B875D24AB30A3FC37BB66B4B9AE78E0037D13AA4585w6gC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E750D9B9F1E156376B295C5F1DFF12C8FDA5388CB1CE469720B71A67FE21B9F412BBEB09307B6611955166AE8D1340C814EA42C1E4747CE836C4A5A56A4P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B943398317CF9E756B2FE88101CB89A4AB28C3E03F3691CC32FC1CEDC8B3B99382B4586693A21A3428A9D6FF9CDC81CEB320F1F6B293B7CCD18605BO" TargetMode="External"/><Relationship Id="rId14" Type="http://schemas.openxmlformats.org/officeDocument/2006/relationships/hyperlink" Target="consultantplus://offline/ref=CB211017A8188AFDB988C253168577346B657E54BBB45265719908E1A713EC2672BDFA9C6DE9CBEE4BB127C5C22E184EE90CA70DAC1B948A9BF4596AS1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909</Words>
  <Characters>5183</Characters>
  <Application>Microsoft Office Word</Application>
  <DocSecurity>0</DocSecurity>
  <Lines>43</Lines>
  <Paragraphs>12</Paragraphs>
  <ScaleCrop>false</ScaleCrop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2019-08-29T08:54:00Z</dcterms:created>
  <dcterms:modified xsi:type="dcterms:W3CDTF">2019-08-29T08:57:00Z</dcterms:modified>
</cp:coreProperties>
</file>