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1312"/>
      </w:tblGrid>
      <w:tr w:rsidR="000539C2" w:rsidTr="00170EF1">
        <w:trPr>
          <w:trHeight w:val="481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2" w:rsidRDefault="000539C2" w:rsidP="00170EF1">
            <w:pPr>
              <w:pStyle w:val="ConsPlusNormal"/>
              <w:ind w:right="151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539C2" w:rsidTr="00170EF1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39C2" w:rsidRDefault="000539C2" w:rsidP="00170EF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04A3220E" wp14:editId="015E26DE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9C2" w:rsidRPr="002B36EE" w:rsidRDefault="000539C2" w:rsidP="00170EF1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539C2" w:rsidRDefault="000539C2" w:rsidP="00170E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539C2" w:rsidRDefault="000539C2" w:rsidP="00170E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539C2" w:rsidRDefault="000539C2" w:rsidP="00170EF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539C2" w:rsidRDefault="000539C2" w:rsidP="00170EF1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sz w:val="28"/>
                      <w:szCs w:val="28"/>
                      <w:lang w:eastAsia="en-US"/>
                    </w:rPr>
                    <w:t xml:space="preserve">        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№9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0539C2" w:rsidRDefault="000539C2" w:rsidP="000539C2">
                  <w:pPr>
                    <w:pStyle w:val="ConsPlusTitle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539C2">
                    <w:rPr>
                      <w:color w:val="FF0000"/>
                      <w:sz w:val="28"/>
                      <w:szCs w:val="28"/>
                      <w:lang w:eastAsia="en-US"/>
                    </w:rPr>
                    <w:t>Минтруд информирует…</w:t>
                  </w:r>
                </w:p>
              </w:tc>
            </w:tr>
          </w:tbl>
          <w:p w:rsidR="000539C2" w:rsidRPr="000539C2" w:rsidRDefault="000539C2" w:rsidP="000539C2">
            <w:pPr>
              <w:shd w:val="clear" w:color="auto" w:fill="D9D9D9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539C2" w:rsidRPr="000539C2" w:rsidRDefault="000539C2" w:rsidP="000539C2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hyperlink r:id="rId5" w:tooltip="Ссылка на КонсультантПлюс" w:history="1">
              <w:r w:rsidRPr="000539C2">
                <w:rPr>
                  <w:rStyle w:val="a4"/>
                  <w:rFonts w:ascii="Verdana" w:hAnsi="Verdana"/>
                  <w:iCs/>
                  <w:sz w:val="28"/>
                  <w:szCs w:val="28"/>
                </w:rPr>
                <w:t>Письмо Минтруда России от 07.03.2019 N 14-2/В-139</w:t>
              </w:r>
            </w:hyperlink>
          </w:p>
          <w:p w:rsidR="000539C2" w:rsidRPr="000539C2" w:rsidRDefault="000539C2" w:rsidP="000539C2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color w:val="FF0000"/>
                <w:sz w:val="28"/>
                <w:szCs w:val="28"/>
                <w:u w:val="single"/>
              </w:rPr>
            </w:pPr>
            <w:r w:rsidRPr="000539C2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Основная сотрудница идет «из декрета в декрет»: как оформить трудовые отношения с временным работником</w:t>
            </w:r>
          </w:p>
          <w:p w:rsidR="000539C2" w:rsidRPr="000539C2" w:rsidRDefault="000539C2" w:rsidP="000539C2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0539C2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Возможности</w:t>
            </w:r>
            <w:r w:rsidRPr="000539C2">
              <w:rPr>
                <w:rFonts w:ascii="Verdana" w:hAnsi="Verdana"/>
                <w:sz w:val="28"/>
                <w:szCs w:val="28"/>
              </w:rPr>
              <w:t xml:space="preserve">: воспользоваться рекомендациями </w:t>
            </w:r>
            <w:proofErr w:type="spellStart"/>
            <w:r w:rsidRPr="000539C2">
              <w:rPr>
                <w:rFonts w:ascii="Verdana" w:hAnsi="Verdana"/>
                <w:sz w:val="28"/>
                <w:szCs w:val="28"/>
              </w:rPr>
              <w:t>Роструда</w:t>
            </w:r>
            <w:proofErr w:type="spellEnd"/>
            <w:r w:rsidRPr="000539C2">
              <w:rPr>
                <w:rFonts w:ascii="Verdana" w:hAnsi="Verdana"/>
                <w:sz w:val="28"/>
                <w:szCs w:val="28"/>
              </w:rPr>
              <w:t xml:space="preserve"> по порядку действий работодателя при расторжении срочного трудового договора.</w:t>
            </w:r>
            <w:r w:rsidRPr="000539C2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0539C2" w:rsidRPr="000539C2" w:rsidRDefault="000539C2" w:rsidP="000539C2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 xml:space="preserve">Минтруд России в </w:t>
            </w:r>
            <w:hyperlink r:id="rId6" w:history="1"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Письме</w:t>
              </w:r>
            </w:hyperlink>
            <w:r w:rsidRPr="000539C2">
              <w:rPr>
                <w:rFonts w:ascii="Verdana" w:hAnsi="Verdana"/>
                <w:sz w:val="28"/>
                <w:szCs w:val="28"/>
              </w:rPr>
              <w:t xml:space="preserve"> от 07.03.2019 N 14-2/В-139 рассмотрел порядок действий работодателя в отношении временного работника, принятого по срочному трудовому договору, при переходе основного работника из отпуска по уходу за первым ребенком в отпуск по беременности и родам. 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i/>
                <w:iCs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 xml:space="preserve">Согласно </w:t>
            </w:r>
            <w:hyperlink r:id="rId7" w:history="1">
              <w:proofErr w:type="spellStart"/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абз</w:t>
              </w:r>
              <w:proofErr w:type="spellEnd"/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. 2 ч. 1 ст. 59</w:t>
              </w:r>
            </w:hyperlink>
            <w:r w:rsidRPr="000539C2">
              <w:rPr>
                <w:rFonts w:ascii="Verdana" w:hAnsi="Verdana"/>
                <w:sz w:val="28"/>
                <w:szCs w:val="28"/>
              </w:rPr>
              <w:t xml:space="preserve"> ТК РФ срочный трудовой договор заключается на время исполнения обязанностей отсутствующего работника, за которым сохраняется место работы. В соответствии с </w:t>
            </w:r>
            <w:hyperlink r:id="rId8" w:history="1"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ч</w:t>
              </w:r>
              <w:bookmarkStart w:id="0" w:name="_GoBack"/>
              <w:bookmarkEnd w:id="0"/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. 1 ст. 79</w:t>
              </w:r>
            </w:hyperlink>
            <w:r w:rsidRPr="000539C2">
              <w:rPr>
                <w:rFonts w:ascii="Verdana" w:hAnsi="Verdana"/>
                <w:sz w:val="28"/>
                <w:szCs w:val="28"/>
              </w:rPr>
              <w:t xml:space="preserve"> ТК РФ срочный трудовой договор прекращается с истечением срока его действия. 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rFonts w:ascii="Verdana" w:hAnsi="Verdana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>Трудовой договор, заключенный на время исполнения обязанностей отсутствующего работника, прекращается с выходом этого работника на работу (</w:t>
            </w:r>
            <w:hyperlink r:id="rId9" w:history="1"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ч. 3 ст. 79</w:t>
              </w:r>
            </w:hyperlink>
            <w:r w:rsidRPr="000539C2">
              <w:rPr>
                <w:rFonts w:ascii="Verdana" w:hAnsi="Verdana"/>
                <w:sz w:val="28"/>
                <w:szCs w:val="28"/>
              </w:rPr>
              <w:t xml:space="preserve"> ТК РФ).</w:t>
            </w:r>
          </w:p>
          <w:p w:rsidR="000539C2" w:rsidRPr="000539C2" w:rsidRDefault="000539C2" w:rsidP="000539C2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 xml:space="preserve">Поэтому, если основной сотрудник уйдет в отпуск по беременности и родам непосредственно по окончании отпуска по уходу за ребенком без выхода на работу, то порядок действий будет зависеть от формулировки трудового договора. Если в трудовом договоре срок действия прописан, как "дата выхода на работу основной работницы", то отпуск по беременности и родам основного работника не будет являться основанием для расторжения трудового договора с временным работником. Расторгнуть трудовой договор с временным работником работодатель будет вправе в случае выхода основного работника на работу. В дальнейшем с уволенным </w:t>
            </w:r>
            <w:r w:rsidRPr="000539C2">
              <w:rPr>
                <w:rFonts w:ascii="Verdana" w:hAnsi="Verdana"/>
                <w:sz w:val="28"/>
                <w:szCs w:val="28"/>
              </w:rPr>
              <w:lastRenderedPageBreak/>
              <w:t>работником может быть заключен новый срочный трудовой договор, если для его заключения будут иметься соответствующие основания.</w:t>
            </w:r>
          </w:p>
          <w:p w:rsidR="000539C2" w:rsidRPr="000539C2" w:rsidRDefault="000539C2" w:rsidP="000539C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 xml:space="preserve">Кроме того, </w:t>
            </w:r>
            <w:proofErr w:type="spellStart"/>
            <w:r w:rsidRPr="000539C2">
              <w:rPr>
                <w:rFonts w:ascii="Verdana" w:hAnsi="Verdana"/>
                <w:sz w:val="28"/>
                <w:szCs w:val="28"/>
              </w:rPr>
              <w:t>Роструд</w:t>
            </w:r>
            <w:proofErr w:type="spellEnd"/>
            <w:r w:rsidRPr="000539C2">
              <w:rPr>
                <w:rFonts w:ascii="Verdana" w:hAnsi="Verdana"/>
                <w:sz w:val="28"/>
                <w:szCs w:val="28"/>
              </w:rPr>
              <w:t xml:space="preserve"> отметил, что истечение срока трудового договора является самостоятельным основанием для его прекращения. Поэтому законодательство не запрещает расторжение трудового договора в связи с истечением его срока в период нетрудоспособности временного работника. Компенсации при истечении срока трудового договора законом не предусмотрены.</w:t>
            </w:r>
          </w:p>
          <w:p w:rsidR="000539C2" w:rsidRPr="000539C2" w:rsidRDefault="000539C2" w:rsidP="000539C2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539C2" w:rsidRPr="000539C2" w:rsidRDefault="000539C2" w:rsidP="000539C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hyperlink r:id="rId10" w:tooltip="Ссылка на КонсультантПлюс" w:history="1">
              <w:r w:rsidRPr="000539C2">
                <w:rPr>
                  <w:rStyle w:val="a4"/>
                  <w:rFonts w:ascii="Verdana" w:hAnsi="Verdana"/>
                  <w:b/>
                  <w:bCs/>
                  <w:sz w:val="28"/>
                  <w:szCs w:val="28"/>
                </w:rPr>
                <w:t>Приказ Минтруда России от 28.01.2019 N 43н</w:t>
              </w:r>
            </w:hyperlink>
          </w:p>
          <w:p w:rsidR="000539C2" w:rsidRPr="000539C2" w:rsidRDefault="000539C2" w:rsidP="000539C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0539C2" w:rsidRPr="000539C2" w:rsidRDefault="000539C2" w:rsidP="000539C2">
            <w:pPr>
              <w:pStyle w:val="1"/>
              <w:spacing w:before="0" w:beforeAutospacing="0" w:after="0" w:afterAutospacing="0"/>
              <w:outlineLvl w:val="0"/>
              <w:rPr>
                <w:rFonts w:ascii="Verdana" w:hAnsi="Verdana"/>
                <w:color w:val="FF0000"/>
                <w:sz w:val="28"/>
                <w:szCs w:val="28"/>
                <w:lang w:eastAsia="en-US"/>
              </w:rPr>
            </w:pPr>
            <w:r w:rsidRPr="000539C2">
              <w:rPr>
                <w:rFonts w:ascii="Verdana" w:hAnsi="Verdana"/>
                <w:color w:val="FF0000"/>
                <w:sz w:val="28"/>
                <w:szCs w:val="28"/>
                <w:lang w:eastAsia="en-US"/>
              </w:rPr>
              <w:t>Куда обращаться за оформлением пенсии: Минтруд обновил правила</w:t>
            </w:r>
          </w:p>
          <w:p w:rsidR="000539C2" w:rsidRPr="000539C2" w:rsidRDefault="000539C2" w:rsidP="000539C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p w:rsidR="000539C2" w:rsidRPr="000539C2" w:rsidRDefault="000539C2" w:rsidP="000539C2">
            <w:pPr>
              <w:pStyle w:val="5"/>
              <w:shd w:val="clear" w:color="auto" w:fill="D9D9D9"/>
              <w:spacing w:before="0"/>
              <w:jc w:val="both"/>
              <w:outlineLvl w:val="4"/>
              <w:rPr>
                <w:rFonts w:eastAsia="Times New Roman"/>
                <w:sz w:val="28"/>
                <w:szCs w:val="28"/>
              </w:rPr>
            </w:pPr>
            <w:r w:rsidRPr="000539C2">
              <w:rPr>
                <w:rFonts w:ascii="Verdana" w:eastAsia="Times New Roman" w:hAnsi="Verdana"/>
                <w:b/>
                <w:bCs/>
                <w:color w:val="auto"/>
                <w:sz w:val="28"/>
                <w:szCs w:val="28"/>
                <w:u w:val="single"/>
              </w:rPr>
              <w:t>Возможности</w:t>
            </w:r>
            <w:r w:rsidRPr="000539C2">
              <w:rPr>
                <w:rFonts w:ascii="Verdana" w:eastAsia="Times New Roman" w:hAnsi="Verdana"/>
                <w:bCs/>
                <w:color w:val="auto"/>
                <w:sz w:val="28"/>
                <w:szCs w:val="28"/>
              </w:rPr>
              <w:t xml:space="preserve">: </w:t>
            </w:r>
            <w:r w:rsidRPr="000539C2">
              <w:rPr>
                <w:rFonts w:ascii="Verdana" w:hAnsi="Verdana"/>
                <w:color w:val="auto"/>
                <w:sz w:val="28"/>
                <w:szCs w:val="28"/>
              </w:rPr>
              <w:t>с 4 марта 2019 года</w:t>
            </w:r>
            <w:r w:rsidRPr="000539C2">
              <w:rPr>
                <w:rFonts w:ascii="Verdana" w:eastAsia="Times New Roman" w:hAnsi="Verdana"/>
                <w:color w:val="auto"/>
                <w:sz w:val="28"/>
                <w:szCs w:val="28"/>
              </w:rPr>
              <w:t xml:space="preserve"> обратиться за пенсией можно будет в любой территориальный орган ПФР по своему выбору.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Pr="000539C2">
                <w:rPr>
                  <w:rStyle w:val="a4"/>
                  <w:rFonts w:ascii="Verdana" w:hAnsi="Verdana"/>
                  <w:sz w:val="28"/>
                  <w:szCs w:val="28"/>
                </w:rPr>
                <w:t>Приказ</w:t>
              </w:r>
            </w:hyperlink>
            <w:r w:rsidRPr="000539C2">
              <w:rPr>
                <w:rFonts w:ascii="Verdana" w:hAnsi="Verdana"/>
                <w:sz w:val="28"/>
                <w:szCs w:val="28"/>
              </w:rPr>
              <w:t xml:space="preserve"> Минтруда России от 28.01.2019 N 43н закрепил право пенсионеров обращаться в любой территориальный орган Пенсионного Фонда России вне зависимости от места проживания или нахождения выплатного дела для установления и выплаты страховых пенсий, накопительной пенсии и пенсий по государственному пенсионному обеспечению. 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9C2">
              <w:rPr>
                <w:sz w:val="28"/>
                <w:szCs w:val="28"/>
              </w:rPr>
              <w:t>Экстерриториальный принцип приема заявлений начнет работать с 4 марта 2019 года.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9C2">
              <w:rPr>
                <w:sz w:val="28"/>
                <w:szCs w:val="28"/>
              </w:rPr>
              <w:t>При этом, как и раньше, сохранится возможность обратиться за назначением пенсии: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>–</w:t>
            </w:r>
            <w:r w:rsidRPr="000539C2">
              <w:rPr>
                <w:sz w:val="28"/>
                <w:szCs w:val="28"/>
              </w:rPr>
              <w:t xml:space="preserve"> в многофункциональный центр, 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color w:val="1F497D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>–</w:t>
            </w:r>
            <w:r w:rsidRPr="000539C2">
              <w:rPr>
                <w:sz w:val="28"/>
                <w:szCs w:val="28"/>
              </w:rPr>
              <w:t xml:space="preserve"> через </w:t>
            </w:r>
            <w:hyperlink r:id="rId12" w:history="1">
              <w:r w:rsidRPr="000539C2">
                <w:rPr>
                  <w:rStyle w:val="a4"/>
                  <w:sz w:val="28"/>
                  <w:szCs w:val="28"/>
                </w:rPr>
                <w:t>Личный кабинет гражданина</w:t>
              </w:r>
            </w:hyperlink>
            <w:r w:rsidRPr="000539C2">
              <w:rPr>
                <w:sz w:val="28"/>
                <w:szCs w:val="28"/>
              </w:rPr>
              <w:t xml:space="preserve"> на официальном сайте ПФР</w:t>
            </w:r>
            <w:r w:rsidRPr="000539C2">
              <w:rPr>
                <w:color w:val="1F497D"/>
                <w:sz w:val="28"/>
                <w:szCs w:val="28"/>
              </w:rPr>
              <w:t xml:space="preserve">, </w:t>
            </w:r>
          </w:p>
          <w:p w:rsidR="000539C2" w:rsidRPr="000539C2" w:rsidRDefault="000539C2" w:rsidP="000539C2">
            <w:pPr>
              <w:autoSpaceDE w:val="0"/>
              <w:autoSpaceDN w:val="0"/>
              <w:jc w:val="both"/>
              <w:rPr>
                <w:color w:val="1F497D"/>
                <w:sz w:val="28"/>
                <w:szCs w:val="28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>–</w:t>
            </w:r>
            <w:r w:rsidRPr="000539C2">
              <w:rPr>
                <w:color w:val="1F497D"/>
                <w:sz w:val="28"/>
                <w:szCs w:val="28"/>
              </w:rPr>
              <w:t xml:space="preserve"> </w:t>
            </w:r>
            <w:r w:rsidRPr="000539C2">
              <w:rPr>
                <w:sz w:val="28"/>
                <w:szCs w:val="28"/>
              </w:rPr>
              <w:t xml:space="preserve">через </w:t>
            </w:r>
            <w:hyperlink r:id="rId13" w:history="1">
              <w:r w:rsidRPr="000539C2">
                <w:rPr>
                  <w:rStyle w:val="a4"/>
                  <w:sz w:val="28"/>
                  <w:szCs w:val="28"/>
                </w:rPr>
                <w:t>Единый портал государственных и муниципальных услуг</w:t>
              </w:r>
            </w:hyperlink>
            <w:r w:rsidRPr="000539C2">
              <w:rPr>
                <w:sz w:val="28"/>
                <w:szCs w:val="28"/>
              </w:rPr>
              <w:t>,</w:t>
            </w:r>
            <w:r w:rsidRPr="000539C2">
              <w:rPr>
                <w:color w:val="1F497D"/>
                <w:sz w:val="28"/>
                <w:szCs w:val="28"/>
              </w:rPr>
              <w:t xml:space="preserve"> </w:t>
            </w:r>
          </w:p>
          <w:p w:rsidR="000539C2" w:rsidRDefault="000539C2" w:rsidP="000539C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r w:rsidRPr="000539C2">
              <w:rPr>
                <w:rFonts w:ascii="Verdana" w:hAnsi="Verdana"/>
                <w:sz w:val="28"/>
                <w:szCs w:val="28"/>
              </w:rPr>
              <w:t>–</w:t>
            </w:r>
            <w:r w:rsidRPr="000539C2">
              <w:rPr>
                <w:rFonts w:asciiTheme="minorHAnsi" w:hAnsiTheme="minorHAnsi"/>
                <w:sz w:val="28"/>
                <w:szCs w:val="28"/>
              </w:rPr>
              <w:t xml:space="preserve"> через работодателя.</w:t>
            </w:r>
          </w:p>
        </w:tc>
      </w:tr>
      <w:tr w:rsidR="000539C2" w:rsidTr="00170EF1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2" w:rsidRDefault="000539C2" w:rsidP="00170E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39C2" w:rsidTr="00170EF1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2" w:rsidRDefault="000539C2" w:rsidP="001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539C2" w:rsidRDefault="000539C2" w:rsidP="001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Тел. факс: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539C2" w:rsidRDefault="000539C2" w:rsidP="001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2019</w:t>
            </w:r>
          </w:p>
          <w:p w:rsidR="000539C2" w:rsidRDefault="000539C2" w:rsidP="00170E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539C2" w:rsidRDefault="000539C2" w:rsidP="000539C2"/>
    <w:p w:rsidR="000539C2" w:rsidRDefault="000539C2" w:rsidP="000539C2">
      <w:pPr>
        <w:ind w:left="-851"/>
      </w:pPr>
    </w:p>
    <w:p w:rsidR="000539C2" w:rsidRDefault="000539C2" w:rsidP="000539C2"/>
    <w:p w:rsidR="00740E62" w:rsidRDefault="00740E62"/>
    <w:sectPr w:rsidR="00740E62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C2"/>
    <w:rsid w:val="000539C2"/>
    <w:rsid w:val="007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C8BB"/>
  <w15:chartTrackingRefBased/>
  <w15:docId w15:val="{CC23C946-C6FB-4EE0-9071-3266A36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C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5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9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539C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539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1F2E28E2F13D7A8B8519A7E2FE13F085B277326EC26B11C774863E6B097F6BF694A04BE040A5F603BCC3C0CFFE64785E0A717F5lBA4O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1F2E28E2F13D7A8B8519A7E2FE13F085B277326EC26B11C774863E6B097F6BF694A03B0050A5F603BCC3C0CFFE64785E0A717F5lBA4O" TargetMode="External"/><Relationship Id="rId12" Type="http://schemas.openxmlformats.org/officeDocument/2006/relationships/hyperlink" Target="https://es.pf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EA3F496C04F0C11168618475377096265FB6D6346A906FCFF8CC6FC77FF3AF2A5E2A7F91453DD2F55F5A6D69C46E40E4A13EA2335C4391EFDA56D61M8h0N" TargetMode="External"/><Relationship Id="rId11" Type="http://schemas.openxmlformats.org/officeDocument/2006/relationships/hyperlink" Target="consultantplus://offline/ref=A88F7617F90560C3140F4093D7681060439C0FBEA1473EB6A0AC687F1C0C38E9F990540FC013075A6205A256C9BE141F852DB96E407DD14BA95BL" TargetMode="External"/><Relationship Id="rId5" Type="http://schemas.openxmlformats.org/officeDocument/2006/relationships/hyperlink" Target="consultantplus://offline/ref=654EA3F496C04F0C11168618475377096265FB6D6346A906FCFF8CC6FC77FF3AF2A5E2A7F91453DD2F55F5A6D69C46E40E4A13EA2335C4391EFDA56D61M8h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8F7617F90560C3140F4093D7681060439C0FBEA1473EB6A0AC687F1C0C38E9F990540FC013075A6205A256C9BE141F852DB96E407DD14BA95B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EF1F2E28E2F13D7A8B8519A7E2FE13F085B277326EC26B11C774863E6B097F6BF694A04BE060A5F603BCC3C0CFFE64785E0A717F5lBA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2019-03-29T09:14:00Z</dcterms:created>
  <dcterms:modified xsi:type="dcterms:W3CDTF">2019-03-29T09:17:00Z</dcterms:modified>
</cp:coreProperties>
</file>