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Ind w:w="-858" w:type="dxa"/>
        <w:tblLayout w:type="fixed"/>
        <w:tblLook w:val="0000"/>
      </w:tblPr>
      <w:tblGrid>
        <w:gridCol w:w="1098"/>
        <w:gridCol w:w="4626"/>
        <w:gridCol w:w="5040"/>
      </w:tblGrid>
      <w:tr w:rsidR="00CE18CF" w:rsidRPr="00585FDC" w:rsidTr="007F578D">
        <w:trPr>
          <w:gridAfter w:val="1"/>
          <w:wAfter w:w="5040" w:type="dxa"/>
          <w:trHeight w:hRule="exact" w:val="1271"/>
        </w:trPr>
        <w:tc>
          <w:tcPr>
            <w:tcW w:w="1098" w:type="dxa"/>
            <w:shd w:val="clear" w:color="auto" w:fill="auto"/>
          </w:tcPr>
          <w:p w:rsidR="00CE18CF" w:rsidRPr="00585FDC" w:rsidRDefault="00CE18CF" w:rsidP="00CE18C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26" w:type="dxa"/>
            <w:shd w:val="clear" w:color="auto" w:fill="auto"/>
          </w:tcPr>
          <w:p w:rsidR="00CE18CF" w:rsidRPr="00585FDC" w:rsidRDefault="00CE18CF" w:rsidP="007F578D">
            <w:pPr>
              <w:snapToGrid w:val="0"/>
              <w:jc w:val="right"/>
              <w:rPr>
                <w:sz w:val="27"/>
                <w:szCs w:val="27"/>
              </w:rPr>
            </w:pPr>
            <w:r w:rsidRPr="00585FDC">
              <w:rPr>
                <w:noProof/>
                <w:sz w:val="27"/>
                <w:szCs w:val="27"/>
              </w:rPr>
              <w:drawing>
                <wp:inline distT="0" distB="0" distL="0" distR="0">
                  <wp:extent cx="600075" cy="665301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06" cy="668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8CF" w:rsidRPr="00585FDC" w:rsidTr="007F578D">
        <w:trPr>
          <w:trHeight w:hRule="exact" w:val="1729"/>
        </w:trPr>
        <w:tc>
          <w:tcPr>
            <w:tcW w:w="10764" w:type="dxa"/>
            <w:gridSpan w:val="3"/>
            <w:shd w:val="clear" w:color="auto" w:fill="auto"/>
          </w:tcPr>
          <w:p w:rsidR="00CE18CF" w:rsidRPr="004F4396" w:rsidRDefault="00CE18CF" w:rsidP="007F578D">
            <w:pPr>
              <w:jc w:val="center"/>
              <w:rPr>
                <w:b/>
                <w:sz w:val="27"/>
                <w:szCs w:val="27"/>
              </w:rPr>
            </w:pPr>
            <w:r w:rsidRPr="004F4396">
              <w:rPr>
                <w:b/>
                <w:sz w:val="27"/>
                <w:szCs w:val="27"/>
              </w:rPr>
              <w:t>Астраханская областная организация Профсоюза</w:t>
            </w:r>
          </w:p>
          <w:p w:rsidR="00CE18CF" w:rsidRPr="004F4396" w:rsidRDefault="00CE18CF" w:rsidP="007F578D">
            <w:pPr>
              <w:ind w:left="-720"/>
              <w:jc w:val="center"/>
              <w:rPr>
                <w:b/>
                <w:sz w:val="27"/>
                <w:szCs w:val="27"/>
              </w:rPr>
            </w:pPr>
            <w:r w:rsidRPr="004F4396">
              <w:rPr>
                <w:b/>
                <w:sz w:val="27"/>
                <w:szCs w:val="27"/>
              </w:rPr>
              <w:t>работников народного образования и науки РФ</w:t>
            </w: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  <w:r w:rsidRPr="00585FDC">
              <w:rPr>
                <w:sz w:val="27"/>
                <w:szCs w:val="27"/>
              </w:rPr>
              <w:t xml:space="preserve"> </w:t>
            </w:r>
          </w:p>
          <w:p w:rsidR="00CE18CF" w:rsidRPr="00585FDC" w:rsidRDefault="00CE18CF" w:rsidP="007F578D">
            <w:pPr>
              <w:ind w:left="-720"/>
              <w:jc w:val="center"/>
              <w:rPr>
                <w:b/>
                <w:sz w:val="27"/>
                <w:szCs w:val="27"/>
              </w:rPr>
            </w:pPr>
            <w:r w:rsidRPr="00585FDC">
              <w:rPr>
                <w:b/>
                <w:sz w:val="27"/>
                <w:szCs w:val="27"/>
              </w:rPr>
              <w:t xml:space="preserve">ИНФОРМАЦИОННЫЙ </w:t>
            </w:r>
            <w:r w:rsidR="00585FDC" w:rsidRPr="00585FDC">
              <w:rPr>
                <w:b/>
                <w:sz w:val="27"/>
                <w:szCs w:val="27"/>
              </w:rPr>
              <w:t>БЮЛЛЕТЕНЬ</w:t>
            </w:r>
            <w:r w:rsidRPr="00585FDC">
              <w:rPr>
                <w:b/>
                <w:sz w:val="27"/>
                <w:szCs w:val="27"/>
              </w:rPr>
              <w:t xml:space="preserve">          </w:t>
            </w:r>
          </w:p>
          <w:p w:rsidR="00CE18CF" w:rsidRPr="00585FDC" w:rsidRDefault="00CE18CF" w:rsidP="007F578D">
            <w:pPr>
              <w:ind w:left="-720"/>
              <w:jc w:val="right"/>
              <w:rPr>
                <w:b/>
                <w:sz w:val="27"/>
                <w:szCs w:val="27"/>
              </w:rPr>
            </w:pPr>
            <w:r w:rsidRPr="00585FDC">
              <w:rPr>
                <w:b/>
                <w:sz w:val="27"/>
                <w:szCs w:val="27"/>
              </w:rPr>
              <w:t>апрель 2020 г.</w:t>
            </w: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ind w:left="-720"/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jc w:val="center"/>
              <w:rPr>
                <w:sz w:val="27"/>
                <w:szCs w:val="27"/>
              </w:rPr>
            </w:pPr>
          </w:p>
          <w:p w:rsidR="00CE18CF" w:rsidRPr="00585FDC" w:rsidRDefault="00CE18CF" w:rsidP="007F578D">
            <w:pPr>
              <w:jc w:val="center"/>
              <w:rPr>
                <w:sz w:val="27"/>
                <w:szCs w:val="27"/>
              </w:rPr>
            </w:pPr>
          </w:p>
        </w:tc>
      </w:tr>
    </w:tbl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F4396" w:rsidRDefault="004F4396" w:rsidP="00585FDC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Коронавирус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Ответы на вопросы.</w:t>
      </w:r>
    </w:p>
    <w:p w:rsidR="004F4396" w:rsidRDefault="004F4396" w:rsidP="00585FDC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Вопрос:</w:t>
      </w:r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r w:rsidRPr="00585FDC">
        <w:rPr>
          <w:rFonts w:ascii="Times New Roman" w:hAnsi="Times New Roman" w:cs="Times New Roman"/>
          <w:i/>
          <w:sz w:val="27"/>
          <w:szCs w:val="27"/>
        </w:rPr>
        <w:t xml:space="preserve">В субъекте РФ был введен режим повышенной готовности в связи с распространением </w:t>
      </w:r>
      <w:proofErr w:type="spellStart"/>
      <w:r w:rsidRPr="00585FDC">
        <w:rPr>
          <w:rFonts w:ascii="Times New Roman" w:hAnsi="Times New Roman" w:cs="Times New Roman"/>
          <w:i/>
          <w:sz w:val="27"/>
          <w:szCs w:val="27"/>
        </w:rPr>
        <w:t>коронавирусной</w:t>
      </w:r>
      <w:proofErr w:type="spellEnd"/>
      <w:r w:rsidRPr="00585FDC">
        <w:rPr>
          <w:rFonts w:ascii="Times New Roman" w:hAnsi="Times New Roman" w:cs="Times New Roman"/>
          <w:i/>
          <w:sz w:val="27"/>
          <w:szCs w:val="27"/>
        </w:rPr>
        <w:t xml:space="preserve"> инфекции по всему миру. Является ли это чрезвычайным обстоятельством, позволяющим привлекать работников к сверхурочной работе, работе в выходные или нерабочие праздничные дни без их согласия?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Ответ: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Распространение </w:t>
      </w:r>
      <w:proofErr w:type="spellStart"/>
      <w:r w:rsidRPr="00585FDC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85FDC">
        <w:rPr>
          <w:rFonts w:ascii="Times New Roman" w:hAnsi="Times New Roman" w:cs="Times New Roman"/>
          <w:sz w:val="27"/>
          <w:szCs w:val="27"/>
        </w:rPr>
        <w:t xml:space="preserve"> инфекции, в связи с которым введён режим повышенной готовности, позволяет привлекать работников к работе за пределами нормальной продолжительности рабочего времени при производстве: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- общественно необходимых работ по устранению этого непредвиденного обстоятельства, если оно нарушает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п. 2  ч. 2 ст. 99 ТК РФ),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-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 (п. 3  ч. 2 ст. 99 ТК РФ).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В некоторых субъектах Российской Федерации введение режима повышенной готовности в связи с распространением </w:t>
      </w:r>
      <w:proofErr w:type="spellStart"/>
      <w:r w:rsidRPr="00585FDC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85FDC">
        <w:rPr>
          <w:rFonts w:ascii="Times New Roman" w:hAnsi="Times New Roman" w:cs="Times New Roman"/>
          <w:sz w:val="27"/>
          <w:szCs w:val="27"/>
        </w:rPr>
        <w:t xml:space="preserve"> инфекции признано чрезвычайным обстоятельством, позволяющим привлекать работников к сверхурочной работе, работе в выходные или нерабочие праздничные дни без их согласия. Например, в п. 13 Указа Мэра Москвы № 12-УМ от 05.03.2020 (в редакции Указов № 20-УМ от 14.03.2020 и от 16.03.2020 № 21-УМ) указано, что распространение новой </w:t>
      </w:r>
      <w:proofErr w:type="spellStart"/>
      <w:r w:rsidRPr="00585FDC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85FDC">
        <w:rPr>
          <w:rFonts w:ascii="Times New Roman" w:hAnsi="Times New Roman" w:cs="Times New Roman"/>
          <w:sz w:val="27"/>
          <w:szCs w:val="27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Правовое обоснование: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lastRenderedPageBreak/>
        <w:t xml:space="preserve">Согласно ч. 1 ст. 99 ТК РФ сверхурочная работа - работа, выполняемая работником по инициативе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работодателя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5FDC">
        <w:rPr>
          <w:rFonts w:ascii="Times New Roman" w:hAnsi="Times New Roman" w:cs="Times New Roman"/>
          <w:sz w:val="27"/>
          <w:szCs w:val="27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585FDC">
        <w:rPr>
          <w:rFonts w:ascii="Times New Roman" w:hAnsi="Times New Roman" w:cs="Times New Roman"/>
          <w:sz w:val="27"/>
          <w:szCs w:val="27"/>
        </w:rPr>
        <w:t>незавершение</w:t>
      </w:r>
      <w:proofErr w:type="spellEnd"/>
      <w:r w:rsidRPr="00585FDC">
        <w:rPr>
          <w:rFonts w:ascii="Times New Roman" w:hAnsi="Times New Roman" w:cs="Times New Roman"/>
          <w:sz w:val="27"/>
          <w:szCs w:val="27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или муниципального имущества либо создать угрозу жизни и здоровью людей;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2 ст. 99 ТК РФ).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5FDC">
        <w:rPr>
          <w:rFonts w:ascii="Times New Roman" w:hAnsi="Times New Roman" w:cs="Times New Roman"/>
          <w:sz w:val="27"/>
          <w:szCs w:val="27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 (ч. 3 ст. 99 ТК РФ).</w:t>
      </w:r>
      <w:proofErr w:type="gramEnd"/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4 ст. 99 ТК РФ).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. 2 ст. 113 ТК РФ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Pr="00585FDC">
        <w:rPr>
          <w:rFonts w:ascii="Times New Roman" w:hAnsi="Times New Roman" w:cs="Times New Roman"/>
          <w:sz w:val="27"/>
          <w:szCs w:val="27"/>
        </w:rPr>
        <w:lastRenderedPageBreak/>
        <w:t>организации в целом или ее отдельных структурных подразделений, индивидуального предпринимателя.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5FDC">
        <w:rPr>
          <w:rFonts w:ascii="Times New Roman" w:hAnsi="Times New Roman" w:cs="Times New Roman"/>
          <w:sz w:val="27"/>
          <w:szCs w:val="27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 (ч. 3 ст. 113 ТК РФ).</w:t>
      </w:r>
      <w:proofErr w:type="gramEnd"/>
    </w:p>
    <w:p w:rsidR="00585FDC" w:rsidRPr="00585FDC" w:rsidRDefault="00585FDC" w:rsidP="00585FDC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5 ст. 113 ТК РФ).     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Вопрос:</w:t>
      </w:r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r w:rsidRPr="00585FDC">
        <w:rPr>
          <w:rFonts w:ascii="Times New Roman" w:hAnsi="Times New Roman" w:cs="Times New Roman"/>
          <w:i/>
          <w:sz w:val="27"/>
          <w:szCs w:val="27"/>
        </w:rPr>
        <w:t xml:space="preserve">У работодателя отсутствует возможность перевести людей на дистанционную работу. Вправе ли работодатель предложить работникам изменить сроки предоставления ежегодного оплачиваемого отпуска и воспользоваться им в период пандемии </w:t>
      </w:r>
      <w:proofErr w:type="spellStart"/>
      <w:r w:rsidRPr="00585FDC">
        <w:rPr>
          <w:rFonts w:ascii="Times New Roman" w:hAnsi="Times New Roman" w:cs="Times New Roman"/>
          <w:i/>
          <w:sz w:val="27"/>
          <w:szCs w:val="27"/>
        </w:rPr>
        <w:t>коронавируса</w:t>
      </w:r>
      <w:proofErr w:type="spellEnd"/>
      <w:r w:rsidRPr="00585FDC">
        <w:rPr>
          <w:rFonts w:ascii="Times New Roman" w:hAnsi="Times New Roman" w:cs="Times New Roman"/>
          <w:i/>
          <w:sz w:val="27"/>
          <w:szCs w:val="27"/>
        </w:rPr>
        <w:t>? Вправе ли работодатель предложить работникам воспользоваться отпуском без сохранения заработной платы в целях охраны своего здоровья?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Ответ: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Работодатель вправе обратиться к работникам с предложением, изменить сроки предоставления ежегодного оплачиваемого отпуска, однако осуществить в одностороннем порядке изменение указанных сроков работодатель не вправе. Изменение сроков предоставления ежегодного оплачиваемого отпуска возможно только по взаимному согласию работника и работодателя. Однако принуждать работников к использованию указанного отпуска работодатель не вправе.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Принуждать работников к отпускам без сохранения заработной платы работодатель не вправе. Но при наличии такого заявления работника, работодателю следует его удовлетворить.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Правовое обоснование: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1 ст. 122 ТК РФ оплачиваемый отпуск должен предоставляться работнику ежегодно.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4 ст. 122 ТК РФ).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В соответствии с ч. 1 ст. 123 ТК РФ очередность предоставления оплачиваемых отпусков определяется ежегодно в соответствии с графиком </w:t>
      </w:r>
      <w:r w:rsidRPr="00585FDC">
        <w:rPr>
          <w:rFonts w:ascii="Times New Roman" w:hAnsi="Times New Roman" w:cs="Times New Roman"/>
          <w:sz w:val="27"/>
          <w:szCs w:val="27"/>
        </w:rPr>
        <w:lastRenderedPageBreak/>
        <w:t xml:space="preserve">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График отпусков обязателен как для работодателя, так и для работника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2 ст. 123 ТК РФ).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1 ст. 124 ТК РФ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- временной нетрудоспособности работника;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- в других случаях, предусмотренных трудовым законодательством, локальными нормативными актами.</w:t>
      </w:r>
    </w:p>
    <w:p w:rsidR="00CE18CF" w:rsidRPr="00585FDC" w:rsidRDefault="00CE18CF" w:rsidP="00CE18CF">
      <w:pPr>
        <w:pStyle w:val="a5"/>
        <w:spacing w:after="0"/>
        <w:rPr>
          <w:sz w:val="27"/>
          <w:szCs w:val="27"/>
        </w:rPr>
      </w:pP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Вопрос:</w:t>
      </w:r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r w:rsidRPr="00585FDC">
        <w:rPr>
          <w:rFonts w:ascii="Times New Roman" w:hAnsi="Times New Roman" w:cs="Times New Roman"/>
          <w:i/>
          <w:sz w:val="27"/>
          <w:szCs w:val="27"/>
        </w:rPr>
        <w:t xml:space="preserve">Работодатель не имеет возможности перевести людей на дистанционную работу. На время пандемии </w:t>
      </w:r>
      <w:proofErr w:type="spellStart"/>
      <w:r w:rsidRPr="00585FDC">
        <w:rPr>
          <w:rFonts w:ascii="Times New Roman" w:hAnsi="Times New Roman" w:cs="Times New Roman"/>
          <w:i/>
          <w:sz w:val="27"/>
          <w:szCs w:val="27"/>
        </w:rPr>
        <w:t>коронавируса</w:t>
      </w:r>
      <w:proofErr w:type="spellEnd"/>
      <w:r w:rsidRPr="00585FDC">
        <w:rPr>
          <w:rFonts w:ascii="Times New Roman" w:hAnsi="Times New Roman" w:cs="Times New Roman"/>
          <w:i/>
          <w:sz w:val="27"/>
          <w:szCs w:val="27"/>
        </w:rPr>
        <w:t xml:space="preserve"> имеет ли право работодатель объявить простой?</w:t>
      </w:r>
      <w:r w:rsidRPr="00585FDC">
        <w:rPr>
          <w:rFonts w:ascii="Times New Roman" w:hAnsi="Times New Roman" w:cs="Times New Roman"/>
          <w:sz w:val="27"/>
          <w:szCs w:val="27"/>
        </w:rPr>
        <w:t> 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Ответ: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Да, имеет, но при условии, что будет иметь место фактическое приостановление деятельности какого-либо структурного подразделения или всей организации в целом.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Правовое обоснование: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3 ст. 72.2 ТК РФ простой - временная приостановка работы по причинам экономического, технологического, технического или организационного характера.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Вопрос:</w:t>
      </w:r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r w:rsidRPr="00585FDC">
        <w:rPr>
          <w:rFonts w:ascii="Times New Roman" w:hAnsi="Times New Roman" w:cs="Times New Roman"/>
          <w:i/>
          <w:sz w:val="27"/>
          <w:szCs w:val="27"/>
        </w:rPr>
        <w:t xml:space="preserve">Работодателем было принято решение в связи распространением </w:t>
      </w:r>
      <w:proofErr w:type="spellStart"/>
      <w:r w:rsidRPr="00585FDC">
        <w:rPr>
          <w:rFonts w:ascii="Times New Roman" w:hAnsi="Times New Roman" w:cs="Times New Roman"/>
          <w:i/>
          <w:sz w:val="27"/>
          <w:szCs w:val="27"/>
        </w:rPr>
        <w:t>коронавируса</w:t>
      </w:r>
      <w:proofErr w:type="spellEnd"/>
      <w:r w:rsidRPr="00585FDC">
        <w:rPr>
          <w:rFonts w:ascii="Times New Roman" w:hAnsi="Times New Roman" w:cs="Times New Roman"/>
          <w:i/>
          <w:sz w:val="27"/>
          <w:szCs w:val="27"/>
        </w:rPr>
        <w:t xml:space="preserve"> временно перевести работников на работу вне офиса. Какие документы следует оформить работодателю? Возможен ли временный перевод работников на удаленную работу? Сохраняются ли при этом для работников гарантии, предусмотренные ТК РФ, в том числе по заработной плате?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Ответ: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Рекомендуется осуществлять переход на удаленную работу всех работников, для которых существуют такие технические возможности. В первую очередь - беременных женщин, родителей с малолетними детьми, инвалидов. Вопрос о переходе на удалённую работу должен решаться с учётом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как со стороны работодателя, так и со стороны работника.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Для организации режима удалённой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</w:t>
      </w:r>
      <w:r w:rsidRPr="00585FDC">
        <w:rPr>
          <w:rFonts w:ascii="Times New Roman" w:hAnsi="Times New Roman" w:cs="Times New Roman"/>
          <w:sz w:val="27"/>
          <w:szCs w:val="27"/>
        </w:rPr>
        <w:lastRenderedPageBreak/>
        <w:t>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Также необходимо издать приказ о временном (на период мероприятий, направленных на нераспространение новой </w:t>
      </w:r>
      <w:proofErr w:type="spellStart"/>
      <w:r w:rsidRPr="00585FDC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85FDC">
        <w:rPr>
          <w:rFonts w:ascii="Times New Roman" w:hAnsi="Times New Roman" w:cs="Times New Roman"/>
          <w:sz w:val="27"/>
          <w:szCs w:val="27"/>
        </w:rPr>
        <w:t xml:space="preserve"> инфекции) переходе сотрудников на удаленную работу на дому и ознакомить с ним работников.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Заработная плата при удалённой занятости при сохранении должностных обязанностей, которые возложены на сотрудника, должна остаться без изменений.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 Кроме того, Трудовым кодексом Российской Федерации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"Интернет".  Такой трудовой договор отличается от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обычного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, поскольку содержит ряд дополнительных условий.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Для перехода сотрудника на дистанционную работу нужно заключить с ним дополнительное соглашение к трудовому договору в соответствии с Трудовым кодексом Российской Федерации.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 </w:t>
      </w:r>
      <w:r w:rsidRPr="00585FDC">
        <w:rPr>
          <w:rFonts w:ascii="Times New Roman" w:hAnsi="Times New Roman" w:cs="Times New Roman"/>
          <w:b/>
          <w:sz w:val="27"/>
          <w:szCs w:val="27"/>
        </w:rPr>
        <w:t>Правовое обоснование: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В случае принятия решения о переходе работника на удаленную работу, необходимо получить согласие работника. Переход должен быть оформлен локальным нормативным актом работодателя в форме приказа (распоряжения), издаваемого в соответствии со ст.8 ТК РФ, вносящим изменения в правила внутреннего трудового распорядка в отношении режима работы и места работы работника.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5FDC">
        <w:rPr>
          <w:rFonts w:ascii="Times New Roman" w:hAnsi="Times New Roman" w:cs="Times New Roman"/>
          <w:sz w:val="27"/>
          <w:szCs w:val="27"/>
        </w:rPr>
        <w:t>В соответствии с ч. 1 ст. 312.1 ТК РФ 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 xml:space="preserve">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«Интернет».</w:t>
      </w:r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5FDC">
        <w:rPr>
          <w:rFonts w:ascii="Times New Roman" w:hAnsi="Times New Roman" w:cs="Times New Roman"/>
          <w:sz w:val="27"/>
          <w:szCs w:val="27"/>
        </w:rPr>
        <w:t xml:space="preserve">Дистанционными работниками считаются лица, заключившие трудовой договор о дистанционной работе (ч. 2 ст. 312.1 ТК РФ), либо подписавшие соответствующее дополнительное соглашение к трудовому договору, т.к. </w:t>
      </w:r>
      <w:r w:rsidRPr="00585FDC">
        <w:rPr>
          <w:rFonts w:ascii="Times New Roman" w:hAnsi="Times New Roman" w:cs="Times New Roman"/>
          <w:sz w:val="27"/>
          <w:szCs w:val="27"/>
        </w:rPr>
        <w:lastRenderedPageBreak/>
        <w:t>согласно ст. 72 ТК РФ изменение определенных сторонами условий трудового договора, в том числе изменение места и режима работы, допускается только по соглашению сторон трудового договора.</w:t>
      </w:r>
      <w:proofErr w:type="gramEnd"/>
    </w:p>
    <w:p w:rsidR="00CE18CF" w:rsidRPr="00585FDC" w:rsidRDefault="00CE18CF" w:rsidP="00CE18CF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При переходе работников на удаленный режим работы или на дистанционную работу все гарантии и компенсации, установленные трудовым законодательством, а также коллективными договорами и отраслевыми соглашениями, сохраняются в прежнем объеме.</w:t>
      </w:r>
    </w:p>
    <w:p w:rsidR="00CE18CF" w:rsidRPr="00585FDC" w:rsidRDefault="00CE18CF" w:rsidP="00CE18CF">
      <w:pPr>
        <w:pStyle w:val="a5"/>
        <w:spacing w:after="0"/>
        <w:rPr>
          <w:sz w:val="27"/>
          <w:szCs w:val="27"/>
        </w:rPr>
      </w:pP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Вопрос:</w:t>
      </w:r>
      <w:r w:rsidRPr="00585FDC">
        <w:rPr>
          <w:rFonts w:ascii="Times New Roman" w:hAnsi="Times New Roman" w:cs="Times New Roman"/>
          <w:sz w:val="27"/>
          <w:szCs w:val="27"/>
        </w:rPr>
        <w:t xml:space="preserve"> </w:t>
      </w:r>
      <w:r w:rsidRPr="00585FDC">
        <w:rPr>
          <w:rFonts w:ascii="Times New Roman" w:hAnsi="Times New Roman" w:cs="Times New Roman"/>
          <w:i/>
          <w:sz w:val="27"/>
          <w:szCs w:val="27"/>
        </w:rPr>
        <w:t xml:space="preserve">В связи с пандемией </w:t>
      </w:r>
      <w:proofErr w:type="spellStart"/>
      <w:r w:rsidRPr="00585FDC">
        <w:rPr>
          <w:rFonts w:ascii="Times New Roman" w:hAnsi="Times New Roman" w:cs="Times New Roman"/>
          <w:i/>
          <w:sz w:val="27"/>
          <w:szCs w:val="27"/>
        </w:rPr>
        <w:t>коронавируса</w:t>
      </w:r>
      <w:proofErr w:type="spellEnd"/>
      <w:r w:rsidRPr="00585FDC">
        <w:rPr>
          <w:rFonts w:ascii="Times New Roman" w:hAnsi="Times New Roman" w:cs="Times New Roman"/>
          <w:i/>
          <w:sz w:val="27"/>
          <w:szCs w:val="27"/>
        </w:rPr>
        <w:t xml:space="preserve"> региональное министерство издало распоряжение о приостановлении приема посетителей. Во исполнение требований распоряжения министерства, подведомственная организация (учреждение) издала соответствующий внутренний приказ о временном прекращении приема посетителей. Возможно ли сотрудникам подведомственной организации (учреждения) по согласованию с работодателем написать заявления на предоставление отпусков без сохранения заработной платы? Возможно ли сотрудникам подведомственной организации (учреждения) по согласованию с работодателем написать заявления на предоставление оплачиваемых отпусков?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Ответ: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Работники вправе обратиться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к работодателю с заявлением о предоставлении отпуска без сохранения заработной платы по разным причинам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Принуждать работников к использованию указанного отпуска, в т.ч. в условиях пандемии, работодатель не вправе.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Также работник вправе обратиться к работодателю с заявлением о предоставлении очередного отпуска вне графика отпусков, утверждённого на соответствующий период. Соответствующие решения принимаются по согласованию сторон трудового договора.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5FDC">
        <w:rPr>
          <w:rFonts w:ascii="Times New Roman" w:hAnsi="Times New Roman" w:cs="Times New Roman"/>
          <w:b/>
          <w:sz w:val="27"/>
          <w:szCs w:val="27"/>
        </w:rPr>
        <w:t>Правовое обоснование: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1 ст.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1 ст. 3 ТК РФ каждый имеет равные возможности для реализации своих трудовых прав.</w:t>
      </w:r>
    </w:p>
    <w:p w:rsidR="00452666" w:rsidRPr="00585FDC" w:rsidRDefault="00452666" w:rsidP="00452666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5FDC">
        <w:rPr>
          <w:rFonts w:ascii="Times New Roman" w:hAnsi="Times New Roman" w:cs="Times New Roman"/>
          <w:sz w:val="27"/>
          <w:szCs w:val="27"/>
        </w:rPr>
        <w:t>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 (</w:t>
      </w:r>
      <w:proofErr w:type="gramStart"/>
      <w:r w:rsidRPr="00585FDC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85FDC">
        <w:rPr>
          <w:rFonts w:ascii="Times New Roman" w:hAnsi="Times New Roman" w:cs="Times New Roman"/>
          <w:sz w:val="27"/>
          <w:szCs w:val="27"/>
        </w:rPr>
        <w:t>. 2 ст. 3 ТК РФ).</w:t>
      </w:r>
    </w:p>
    <w:p w:rsidR="00350498" w:rsidRDefault="00350498" w:rsidP="00452666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415E" w:rsidRDefault="002C415E" w:rsidP="00452666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415E" w:rsidRDefault="002C415E" w:rsidP="002C41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C415E" w:rsidRDefault="002C415E" w:rsidP="002C41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C415E" w:rsidRDefault="002C415E" w:rsidP="002C41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C415E" w:rsidRDefault="002C415E" w:rsidP="002C41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</w:p>
    <w:p w:rsidR="002C415E" w:rsidRDefault="002C415E" w:rsidP="0045266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Федеральная служба по труду и занятости</w:t>
      </w:r>
    </w:p>
    <w:p w:rsidR="002C415E" w:rsidRPr="002C415E" w:rsidRDefault="002C415E" w:rsidP="002C415E">
      <w:pPr>
        <w:rPr>
          <w:lang w:eastAsia="en-US"/>
        </w:rPr>
      </w:pPr>
      <w:proofErr w:type="spellStart"/>
      <w:r>
        <w:rPr>
          <w:lang w:eastAsia="en-US"/>
        </w:rPr>
        <w:t>Онлайнинспекция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ф</w:t>
      </w:r>
      <w:proofErr w:type="spellEnd"/>
    </w:p>
    <w:sectPr w:rsidR="002C415E" w:rsidRPr="002C415E" w:rsidSect="004F43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89"/>
    <w:rsid w:val="002C415E"/>
    <w:rsid w:val="00350498"/>
    <w:rsid w:val="00452666"/>
    <w:rsid w:val="004F4396"/>
    <w:rsid w:val="00585FDC"/>
    <w:rsid w:val="006055AB"/>
    <w:rsid w:val="00BA3598"/>
    <w:rsid w:val="00CE18CF"/>
    <w:rsid w:val="00D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18CF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18CF"/>
    <w:rPr>
      <w:color w:val="000080"/>
      <w:u w:val="single"/>
    </w:rPr>
  </w:style>
  <w:style w:type="character" w:styleId="a4">
    <w:name w:val="Strong"/>
    <w:basedOn w:val="a0"/>
    <w:uiPriority w:val="22"/>
    <w:qFormat/>
    <w:rsid w:val="00CE18CF"/>
    <w:rPr>
      <w:b/>
      <w:bCs/>
    </w:rPr>
  </w:style>
  <w:style w:type="paragraph" w:styleId="a5">
    <w:name w:val="Normal (Web)"/>
    <w:basedOn w:val="a"/>
    <w:uiPriority w:val="99"/>
    <w:semiHidden/>
    <w:unhideWhenUsed/>
    <w:rsid w:val="00CE18CF"/>
    <w:pPr>
      <w:spacing w:before="100" w:beforeAutospacing="1" w:after="119"/>
    </w:pPr>
  </w:style>
  <w:style w:type="paragraph" w:styleId="a6">
    <w:name w:val="No Spacing"/>
    <w:uiPriority w:val="1"/>
    <w:qFormat/>
    <w:rsid w:val="00CE18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18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4C53-32A7-43A5-8761-7B7E483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7</cp:revision>
  <dcterms:created xsi:type="dcterms:W3CDTF">2020-04-14T17:48:00Z</dcterms:created>
  <dcterms:modified xsi:type="dcterms:W3CDTF">2020-04-14T19:23:00Z</dcterms:modified>
</cp:coreProperties>
</file>