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D3" w:rsidRPr="00DC74D3" w:rsidRDefault="00DC74D3" w:rsidP="00DC74D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DC74D3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Самые свежие изменения в законодательстве коротко. Всё что нужно и важно знать и не желательно пропустить</w:t>
      </w:r>
      <w:r w:rsidR="0000188E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.</w:t>
      </w:r>
      <w:bookmarkStart w:id="0" w:name="_GoBack"/>
      <w:bookmarkEnd w:id="0"/>
    </w:p>
    <w:p w:rsidR="00DC74D3" w:rsidRPr="00DC74D3" w:rsidRDefault="00DC74D3" w:rsidP="00DC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</w:p>
    <w:p w:rsidR="00DC74D3" w:rsidRPr="00DC74D3" w:rsidRDefault="00DC74D3" w:rsidP="00DC74D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Важные новости коротко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Наш сайт начинает новую рубрику «Важные новости коротко». В ней мы будем знакомить вас с той </w:t>
      </w:r>
      <w:proofErr w:type="gram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информацией</w:t>
      </w:r>
      <w:proofErr w:type="gram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которая не должна пройти мимо вашего внимания. В большинстве своём она будет касаться законодательных новшеств (причём не только социально-трудовой направленности), а также разъяснений соответствующих государственных органов.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Срок выплаты пособий по безработице в повышенном размере продлен до конца лета</w:t>
      </w:r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6037854" cy="3775249"/>
            <wp:effectExtent l="0" t="0" r="1270" b="0"/>
            <wp:docPr id="7" name="Рисунок 7" descr="http://profsevas.ru/wp-content/uploads/2020/07/pic0341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evas.ru/wp-content/uploads/2020/07/pic03416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52" cy="378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Внесены изменения в постановление Правительства РФ от 27 марта 2020 г. № 346 «</w:t>
      </w:r>
      <w:hyperlink r:id="rId7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 размерах минимальной и максимальной величин пособия по безработице на 2020 год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 (</w:t>
      </w:r>
      <w:hyperlink r:id="rId8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Постановление Правительства РФ от 4 июля 2020 г. № 988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Согласно поправкам:</w:t>
      </w:r>
    </w:p>
    <w:p w:rsidR="00DC74D3" w:rsidRPr="00DC74D3" w:rsidRDefault="00DC74D3" w:rsidP="00DC7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Минимальный размер пособия по безработице в августе, также как в мае-июле, будет составлять 4500 руб.;</w:t>
      </w:r>
    </w:p>
    <w:p w:rsidR="00DC74D3" w:rsidRPr="00DC74D3" w:rsidRDefault="00DC74D3" w:rsidP="00DC74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Для граждан, уволенных и признанных в установленном порядке безработными начиная с 1 марта 2020 г., на июль-август пособие по безработице установлено в том же размере, что и в апреле – июне, – 12130 руб. Напомним, что это правило не распространяется на граждан, уволенных за нарушение трудовой дисциплины или другие виновные действия.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lastRenderedPageBreak/>
        <w:t>Работать педагогом иногда можно и без образования</w:t>
      </w:r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6362700" cy="4229100"/>
            <wp:effectExtent l="0" t="0" r="0" b="0"/>
            <wp:docPr id="6" name="Рисунок 6" descr="http://profsevas.ru/wp-content/uploads/2020/07/doska-pic668-668x444-5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evas.ru/wp-content/uploads/2020/07/doska-pic668-668x444-550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Внесены поправки в Закон об образовании в части требований к педагогическим работникам. По общему правилу, установленному ст. 46 Закона от 29 декабря 2012 г. № 273-ФЗ «</w:t>
      </w:r>
      <w:hyperlink r:id="rId10" w:anchor="block_46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Об образовании в Российской Федерации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«,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Однако теперь Закон содержит несколько исключений из этого правила (Федеральный закон от 8 июня 2020 г. № 165-ФЗ «</w:t>
      </w:r>
      <w:hyperlink r:id="rId11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 внесении изменений в статьи 46 и 108 Федерального закона «Об образовании в Российской Федерации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»</w:t>
      </w:r>
      <w:proofErr w:type="gram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)</w:t>
      </w:r>
      <w:proofErr w:type="gram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Предусмотрено, что лица, обучающиеся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proofErr w:type="gram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А 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 Порядок допуска указанных лиц к педагогической деятельности надлежит подготовить </w:t>
      </w:r>
      <w:proofErr w:type="spell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Минпросвещения</w:t>
      </w:r>
      <w:proofErr w:type="spell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России по согласованию с </w:t>
      </w:r>
      <w:proofErr w:type="spell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Минобрнауки</w:t>
      </w:r>
      <w:proofErr w:type="spell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России и Минтрудом России.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Кроме того, установлено, что предусмотренные законом требования к уровню образования не распространяются на тех педагогов, которые были приняты на работу еще до вступления в силу Закона об образовании, если их соответствие занимаемой должности было подтверждено аттестационной комиссией.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>Отметим, что нынешний Закон об образовании вступил в силу с 1 сентября 2013 года. В действовавшем до этого момента законодательстве единых требований к уровню образования педагогов закреплено не было. Такие требования определялись в порядке, установленном типовыми положениями об образовательных учреждениях соответствующих типов и видов. В ноябре 2018 года Конституционный Суд РФ </w:t>
      </w:r>
      <w:hyperlink r:id="rId12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указал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на недопустимость увольнения педагогических работников, принятых на работу до вступления в силу действующего Закона об образовании, из-за отсутствия у них необходимого образования, если они успешно осуществляют профессиональную педагогическую деятельность и признаны аттестационной комиссией соответствующими занимаемой должности.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Работодатель не обязан выдавать работникам, не отказавшимся от ведения трудовой книжки, сведения о трудовой деятельности</w:t>
      </w:r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172075" cy="3533775"/>
            <wp:effectExtent l="0" t="0" r="9525" b="9525"/>
            <wp:docPr id="5" name="Рисунок 5" descr="http://profsevas.ru/wp-content/uploads/2020/0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sevas.ru/wp-content/uploads/2020/07/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Согласно </w:t>
      </w:r>
      <w:hyperlink r:id="rId14" w:anchor="block_661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ст. 66.1 Трудового кодекса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работодатель обязан по заявлению работника предоставить ему сведения о трудовой деятельности за период работы у данного работодателя (</w:t>
      </w:r>
      <w:hyperlink r:id="rId15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письмо Минтруда России от 16 июня 2020 г. № 14-2/ООГ-8465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). Однако это правило не распространяется на случаи, когда на работника ведется трудовая книжка. То есть получить сведения о трудовой деятельности у работодателя по </w:t>
      </w:r>
      <w:hyperlink r:id="rId16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форме СТД-Р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могут только те работники, которые отказались от ведения их трудовой книжки в бумажном формате.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Этот вывод подтверждают и специалисты Минтруда России. В письме отмечается, что обязанность работодателя выдать информацию о трудовой деятельности работника, выбравшего ведение трудовой книжки, по форме СТД-Р не предусмотрена.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Тем не менее, такой работник может получить сведения о трудовой деятельности в многофункциональном центре предоставления государственных и муниципальных услуг, в ПФР или на едином портале государственных и муниципальных услуг по форме СТД-ПФР.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proofErr w:type="spellStart"/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Роспотребнадзор</w:t>
      </w:r>
      <w:proofErr w:type="spellEnd"/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 выпустил очередные рекомендации по работе в жару</w:t>
      </w:r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5640185" cy="3762004"/>
            <wp:effectExtent l="0" t="0" r="0" b="0"/>
            <wp:docPr id="4" name="Рисунок 4" descr="http://profsevas.ru/wp-content/uploads/2020/07/iStock-1011404062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sevas.ru/wp-content/uploads/2020/07/iStock-1011404062_d_8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85" cy="37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spell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Роспотребнадзор</w:t>
      </w:r>
      <w:proofErr w:type="spell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опубликовал свои рекомендации для работающих в условиях повышенных температур воздуха (</w:t>
      </w:r>
      <w:hyperlink r:id="rId18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информация </w:t>
        </w:r>
        <w:proofErr w:type="spellStart"/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Роспотребнадзора</w:t>
        </w:r>
        <w:proofErr w:type="spellEnd"/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 xml:space="preserve"> от 2 июля 2020 г.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). В ведомстве посоветовали сокращать продолжительность рабочего дня на один час, когда температура в рабочем помещении приближается к отметке 28,5 градусов, при повышении температуры до 29 градусов – на два часа, при температуре 30,5 градусов – на четыре часа. Напомним, что эти рекомендации основаны на </w:t>
      </w:r>
      <w:hyperlink r:id="rId19" w:anchor="block_31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положениях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СанПиН 2.2.4.548-96.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При работах на открытом воздухе и температуре наружного воздуха выше 32,5 градусов чиновники рекомендуют делать постоянные перерывы для отдыха в охлаждаемых помещениях, а по возможности – вообще переносить работы на открытом воздухе на утренние и вечерние часы. К такой работе следует допускать лиц не моложе 25 и не старше 40 лет. Необходимо использовать специальную одежду или одежду из плотных сортов ткани для защиты от чрезмерного теплового излучения.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Граждане с нарушением слуха смогут бесплатно получать смартфоны с функцией видеосвязи</w:t>
      </w:r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5468801" cy="3648075"/>
            <wp:effectExtent l="0" t="0" r="0" b="0"/>
            <wp:docPr id="3" name="Рисунок 3" descr="http://profsevas.ru/wp-content/uploads/2020/07/ab05f3a2e2ecef1bd8212e7abb191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ofsevas.ru/wp-content/uploads/2020/07/ab05f3a2e2ecef1bd8212e7abb1917c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08" cy="36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Минтрудом России внесены изменения в </w:t>
      </w:r>
      <w:hyperlink r:id="rId21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классификацию технических средств реабилитации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(ТСР), по которой в рамках </w:t>
      </w:r>
      <w:hyperlink r:id="rId22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федерального перечня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 такие средства и услуги инвалидам предоставляются бесплатно. Так, если ранее для людей с нарушением слуха предоставлялись телефоны с функцией приема и вывода информации в текстовом формате, то сейчас такие граждане смогут бесплатно получать смартфоны с навигаторами и функцией видеосвязи, что позволит им общаться в формате </w:t>
      </w:r>
      <w:proofErr w:type="spell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видеозвонков</w:t>
      </w:r>
      <w:proofErr w:type="spell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Кроме того, указанный перечень пополнится протезом голени с модулем стопы с микропроцессорным управлением, который автоматически корректирует положение сустава, реагируя на движение ноги. Сообщается</w:t>
      </w:r>
      <w:hyperlink r:id="rId23" w:anchor="sdfootnote1sym" w:history="1">
        <w:r w:rsidRPr="00DC74D3">
          <w:rPr>
            <w:rFonts w:ascii="Arial" w:eastAsia="Times New Roman" w:hAnsi="Arial" w:cs="Arial"/>
            <w:color w:val="2023C1"/>
            <w:sz w:val="16"/>
            <w:szCs w:val="16"/>
            <w:vertAlign w:val="superscript"/>
            <w:lang w:eastAsia="ru-RU"/>
          </w:rPr>
          <w:t>1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что появится возможность изготовления протезов нижних конечностей сразу для постоянного использования с заменой приемных гильз протезов. Это позволит не использовать временный протез.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Предусмотрена возможность единовременной выплаты двукратного среднемесячного заработка работнику при ликвидации организации</w:t>
      </w:r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lastRenderedPageBreak/>
        <w:drawing>
          <wp:inline distT="0" distB="0" distL="0" distR="0">
            <wp:extent cx="4876800" cy="3657600"/>
            <wp:effectExtent l="0" t="0" r="0" b="0"/>
            <wp:docPr id="2" name="Рисунок 2" descr="http://profsevas.ru/wp-content/uploads/2020/07/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sevas.ru/wp-content/uploads/2020/07/unnamed-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 </w:t>
      </w:r>
      <w:hyperlink r:id="rId25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Трудовой кодекс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внесены изменения, направленные на совершенствование порядка предоставления работнику, уволенному в связи с ликвидацией организации, гарантии по сохранению за ним среднего месячного заработка за период трудоустройства. Поправки предусмотрены</w:t>
      </w:r>
      <w:hyperlink r:id="rId26" w:anchor="sdfootnote1sym" w:history="1">
        <w:r w:rsidRPr="00DC74D3">
          <w:rPr>
            <w:rFonts w:ascii="Arial" w:eastAsia="Times New Roman" w:hAnsi="Arial" w:cs="Arial"/>
            <w:color w:val="2023C1"/>
            <w:sz w:val="16"/>
            <w:szCs w:val="16"/>
            <w:vertAlign w:val="superscript"/>
            <w:lang w:eastAsia="ru-RU"/>
          </w:rPr>
          <w:t>1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в </w:t>
      </w:r>
      <w:hyperlink r:id="rId27" w:anchor="block_178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ст. 178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и </w:t>
      </w:r>
      <w:hyperlink r:id="rId28" w:anchor="block_318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ст. 318 ТК РФ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proofErr w:type="gram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Так, теперь в случае ликвидации организации у работодателя есть право взамен выплат среднего месячного заработка за период трудоустройства при увольнении работника выплатить единовременную компенсацию в размере двукратного среднего месячного заработка, а работнику, уволенному из организации, расположенной в районах Крайнего Севера и приравненных к ним местностях, – в размере пятикратного среднего месячного заработка.</w:t>
      </w:r>
      <w:proofErr w:type="gram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Законом предусматривается требование, что указанная единовременная компенсация в любом случае должна быть произведена до завершения ликвидации организации в соответствии с гражданским законодательством.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Кроме того, уточнен существующий порядок выплаты, если длительность трудоустройства работника превышает месяц или два месяца</w:t>
      </w:r>
      <w:proofErr w:type="gram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.</w:t>
      </w:r>
      <w:proofErr w:type="gram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Работодатель обязан выплатить средний месячный заработок за второй месяц или третий месяц (по решению органа занятости) либо его часть пропорционально периоду трудоустройства на этот месяц.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Прописан порядок обращения работника к работодателю за выплатой среднего месячного заработка за период трудоустройства, если длительность трудоустройства превышает один или два месяца. Работник может обратиться к работодателю с письменным заявлением в срок, не превышающий 15 рабочих дней после окончания второго месяца, а если он не трудоустроен в течение трех месяцев – после принятия решения органом занятости, но не позднее 15 рабочих дней после окончания третьего месяца со дня увольнения. Работодатель должен выплатить указанные суммы в срок не более 15 календарных дней со дня обращения работника. Соответствующий порядок обращения и сроки также предусмотрены и для работников, уволенных в связи с ликвидацией организаций, расположенных в районах Крайнего Севера и приравненных к ним местностях.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Корреспондирующие поправки</w:t>
      </w:r>
      <w:hyperlink r:id="rId29" w:anchor="sdfootnote2sym" w:history="1">
        <w:r w:rsidRPr="00DC74D3">
          <w:rPr>
            <w:rFonts w:ascii="Arial" w:eastAsia="Times New Roman" w:hAnsi="Arial" w:cs="Arial"/>
            <w:color w:val="2023C1"/>
            <w:sz w:val="16"/>
            <w:szCs w:val="16"/>
            <w:vertAlign w:val="superscript"/>
            <w:lang w:eastAsia="ru-RU"/>
          </w:rPr>
          <w:t>2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внесены в Федеральный закон от 8 августа 2001 года № 129-ФЗ «</w:t>
      </w:r>
      <w:hyperlink r:id="rId30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 государственной регистрации юридических лиц и индивидуальных предпринимателей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«. Предусматривается, что в заявлении о государственной регистрации </w:t>
      </w: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lastRenderedPageBreak/>
        <w:t xml:space="preserve">в связи с ликвидацией </w:t>
      </w:r>
      <w:proofErr w:type="spell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юрлица</w:t>
      </w:r>
      <w:proofErr w:type="spell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должно содержаться подтверждение того, что все выплаты, предусмотренные трудовым законодательством РФ для работников, увольняемых в связи с ликвидацией </w:t>
      </w:r>
      <w:proofErr w:type="spellStart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юрлица</w:t>
      </w:r>
      <w:proofErr w:type="spellEnd"/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, произведены.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Соответствующие законы вступят в силу по истечении 30 дней после дня опубликования.</w:t>
      </w:r>
    </w:p>
    <w:p w:rsidR="00DC74D3" w:rsidRPr="00DC74D3" w:rsidRDefault="00DC74D3" w:rsidP="00DC74D3">
      <w:pPr>
        <w:shd w:val="clear" w:color="auto" w:fill="CF2E2E"/>
        <w:spacing w:after="360" w:line="240" w:lineRule="auto"/>
        <w:jc w:val="center"/>
        <w:rPr>
          <w:rFonts w:ascii="Arial" w:eastAsia="Times New Roman" w:hAnsi="Arial" w:cs="Arial"/>
          <w:color w:val="EEEEEE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 xml:space="preserve">Почтовый перевод на сумму от 100 тыс. руб. станет предметом проверки </w:t>
      </w:r>
      <w:proofErr w:type="spellStart"/>
      <w:r w:rsidRPr="00DC74D3">
        <w:rPr>
          <w:rFonts w:ascii="Arial" w:eastAsia="Times New Roman" w:hAnsi="Arial" w:cs="Arial"/>
          <w:b/>
          <w:bCs/>
          <w:color w:val="EEEEEE"/>
          <w:sz w:val="21"/>
          <w:szCs w:val="21"/>
          <w:lang w:eastAsia="ru-RU"/>
        </w:rPr>
        <w:t>Росфинмониторинга</w:t>
      </w:r>
      <w:proofErr w:type="spellEnd"/>
    </w:p>
    <w:p w:rsidR="00DC74D3" w:rsidRPr="00DC74D3" w:rsidRDefault="00DC74D3" w:rsidP="00DC74D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4124325" cy="2752725"/>
            <wp:effectExtent l="0" t="0" r="9525" b="9525"/>
            <wp:docPr id="1" name="Рисунок 1" descr="http://profsevas.ru/wp-content/uploads/2020/07/kak-otsledit-pochtovyy-perevod-deneg-po-nomeru-kvitan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fsevas.ru/wp-content/uploads/2020/07/kak-otsledit-pochtovyy-perevod-deneg-po-nomeru-kvitancii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Владимир Путин подписал закон, направленный на реформирование института обязательного контроля операций с денежными средствами или иным имуществом (</w:t>
      </w:r>
      <w:hyperlink r:id="rId32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Федеральный закон от 13 июля 2020 г. № 208-ФЗ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). Соответствующие поправки внесены в Федеральный закон от 7 августа 2001 г. № 115-ФЗ «</w:t>
      </w:r>
      <w:hyperlink r:id="rId33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О противодействии легализации (отмыванию) доходов, полученных преступным путем, и финансированию терроризма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«. 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частности, под обязательный контроль введена операция почтового перевода денежных средств, если ее сумма равна или превышает 100 тыс. руб., либо равна сумме в иностранной валюте, эквивалентной 100 тыс. руб. или выше. Также проверке подлежит операция по возврату неиспользованного остатка денежных средств, внесенных в качестве аванса за услуги связи, если их сумма равна 100 тыс. руб. и выше (либо ее эквивалент в валюте).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Кроме того, подконтрольной является и операция с денежными средствами или иным имуществом, на сумму, равную или превышающую 600 тыс. руб. (либо эквивалентной данной сумме или превышающей ее), если такая операция, в том числе относится к передаче или выплате физлицу выигрыша в результате азартной игры либо выигрыша гражданина в результате лотереи. Соответствующие поправки внесены в </w:t>
      </w:r>
      <w:hyperlink r:id="rId34" w:anchor="block_6" w:history="1">
        <w:r w:rsidRPr="00DC74D3">
          <w:rPr>
            <w:rFonts w:ascii="Arial" w:eastAsia="Times New Roman" w:hAnsi="Arial" w:cs="Arial"/>
            <w:color w:val="2023C1"/>
            <w:sz w:val="21"/>
            <w:szCs w:val="21"/>
            <w:lang w:eastAsia="ru-RU"/>
          </w:rPr>
          <w:t>ст. 6 Закона № 115-ФЗ</w:t>
        </w:r>
      </w:hyperlink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 </w:t>
      </w:r>
    </w:p>
    <w:p w:rsidR="00DC74D3" w:rsidRPr="00DC74D3" w:rsidRDefault="00DC74D3" w:rsidP="00DC74D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C74D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Федеральный закон вступит в силу по истечении 180 дней после дня его официального опубликования за исключением отдельных положений, для которых установлены иные сроки вступления их в силу.</w:t>
      </w:r>
    </w:p>
    <w:p w:rsidR="00993135" w:rsidRDefault="00993135"/>
    <w:sectPr w:rsidR="0099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767"/>
    <w:multiLevelType w:val="multilevel"/>
    <w:tmpl w:val="351E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C3F37"/>
    <w:multiLevelType w:val="multilevel"/>
    <w:tmpl w:val="E4F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9"/>
    <w:rsid w:val="0000188E"/>
    <w:rsid w:val="00394999"/>
    <w:rsid w:val="00540805"/>
    <w:rsid w:val="00993135"/>
    <w:rsid w:val="00D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74D3"/>
    <w:rPr>
      <w:color w:val="0000FF"/>
      <w:u w:val="single"/>
    </w:rPr>
  </w:style>
  <w:style w:type="character" w:customStyle="1" w:styleId="mcatname">
    <w:name w:val="mcat_name"/>
    <w:basedOn w:val="a0"/>
    <w:rsid w:val="00DC74D3"/>
  </w:style>
  <w:style w:type="paragraph" w:styleId="a4">
    <w:name w:val="Normal (Web)"/>
    <w:basedOn w:val="a"/>
    <w:uiPriority w:val="99"/>
    <w:semiHidden/>
    <w:unhideWhenUsed/>
    <w:rsid w:val="00DC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DC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4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74D3"/>
    <w:rPr>
      <w:color w:val="0000FF"/>
      <w:u w:val="single"/>
    </w:rPr>
  </w:style>
  <w:style w:type="character" w:customStyle="1" w:styleId="mcatname">
    <w:name w:val="mcat_name"/>
    <w:basedOn w:val="a0"/>
    <w:rsid w:val="00DC74D3"/>
  </w:style>
  <w:style w:type="paragraph" w:styleId="a4">
    <w:name w:val="Normal (Web)"/>
    <w:basedOn w:val="a"/>
    <w:uiPriority w:val="99"/>
    <w:semiHidden/>
    <w:unhideWhenUsed/>
    <w:rsid w:val="00DC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DC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4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0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1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7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3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4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9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files/0/6/1399860/postanovlenie_pravitelstva_rf_ot_4_iyulya_2020_g_n_988_o_vnesenii_izmeneniy_v_pos.rtf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base.garant.ru/74330420/" TargetMode="External"/><Relationship Id="rId26" Type="http://schemas.openxmlformats.org/officeDocument/2006/relationships/hyperlink" Target="http://www.garant.ru/news/140059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1897812/" TargetMode="External"/><Relationship Id="rId34" Type="http://schemas.openxmlformats.org/officeDocument/2006/relationships/hyperlink" Target="http://base.garant.ru/12123862/8b7b3c1c76e91f88d33c08b3736aa67a/" TargetMode="External"/><Relationship Id="rId7" Type="http://schemas.openxmlformats.org/officeDocument/2006/relationships/hyperlink" Target="http://base.garant.ru/73816518/" TargetMode="External"/><Relationship Id="rId12" Type="http://schemas.openxmlformats.org/officeDocument/2006/relationships/hyperlink" Target="http://base.garant.ru/72103150/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base.garant.ru/12125268/" TargetMode="External"/><Relationship Id="rId33" Type="http://schemas.openxmlformats.org/officeDocument/2006/relationships/hyperlink" Target="http://base.garant.ru/1212386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3658438/53f89421bbdaf741eb2d1ecc4ddb4c33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garant.ru/news/140059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4231515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garant.ru/hotlaw/federal/14009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4281152/" TargetMode="External"/><Relationship Id="rId23" Type="http://schemas.openxmlformats.org/officeDocument/2006/relationships/hyperlink" Target="http://www.garant.ru/news/1400343/" TargetMode="External"/><Relationship Id="rId28" Type="http://schemas.openxmlformats.org/officeDocument/2006/relationships/hyperlink" Target="http://base.garant.ru/12125268/1ad1ca5bd7443bddd28edc5883873e1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70291362/363aa18e6c32ff15fa5ec3b09cbefbf6/" TargetMode="External"/><Relationship Id="rId19" Type="http://schemas.openxmlformats.org/officeDocument/2006/relationships/hyperlink" Target="http://base.garant.ru/4173106/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se.garant.ru/12125268/1a3e2a66ba56522a5bedeada6d6103b7/" TargetMode="External"/><Relationship Id="rId22" Type="http://schemas.openxmlformats.org/officeDocument/2006/relationships/hyperlink" Target="https://base.garant.ru/12144151/" TargetMode="External"/><Relationship Id="rId27" Type="http://schemas.openxmlformats.org/officeDocument/2006/relationships/hyperlink" Target="http://base.garant.ru/12125268/bfa52a937b73062ff378b34b8e8d7fcf/" TargetMode="External"/><Relationship Id="rId30" Type="http://schemas.openxmlformats.org/officeDocument/2006/relationships/hyperlink" Target="http://base.garant.ru/12123875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2020-07-15T06:45:00Z</dcterms:created>
  <dcterms:modified xsi:type="dcterms:W3CDTF">2020-07-15T06:46:00Z</dcterms:modified>
</cp:coreProperties>
</file>