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E0F5E" w:rsidTr="00620518">
        <w:trPr>
          <w:trHeight w:val="3954"/>
        </w:trPr>
        <w:tc>
          <w:tcPr>
            <w:tcW w:w="11199" w:type="dxa"/>
          </w:tcPr>
          <w:p w:rsidR="001E0F5E" w:rsidRPr="00726C3F" w:rsidRDefault="001E0F5E" w:rsidP="00620518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E0F5E" w:rsidTr="00620518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0F5E" w:rsidRDefault="001E0F5E" w:rsidP="006205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AFCFAE" wp14:editId="2EBF2FA3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7934991" wp14:editId="687A3935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F5E" w:rsidRDefault="001E0F5E" w:rsidP="006205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E0F5E" w:rsidRPr="006355F5" w:rsidRDefault="001E0F5E" w:rsidP="006205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1E0F5E" w:rsidRDefault="001E0F5E" w:rsidP="00620518">
                  <w:pPr>
                    <w:pStyle w:val="ConsPlusTitle"/>
                    <w:jc w:val="center"/>
                  </w:pPr>
                </w:p>
                <w:p w:rsidR="001E0F5E" w:rsidRPr="00A037AE" w:rsidRDefault="001E0F5E" w:rsidP="006205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E0F5E" w:rsidRPr="00A037AE" w:rsidRDefault="001E0F5E" w:rsidP="006205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1E0F5E" w:rsidRDefault="001E0F5E" w:rsidP="006205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24</w:t>
                  </w:r>
                </w:p>
                <w:p w:rsidR="001E0F5E" w:rsidRPr="00A037AE" w:rsidRDefault="001E0F5E" w:rsidP="006205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1E0F5E" w:rsidRPr="00502D2A" w:rsidRDefault="001E0F5E" w:rsidP="00620518">
                  <w:pPr>
                    <w:tabs>
                      <w:tab w:val="left" w:pos="709"/>
                    </w:tabs>
                    <w:spacing w:line="360" w:lineRule="auto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1E0F5E">
                    <w:rPr>
                      <w:b/>
                      <w:bCs/>
                      <w:color w:val="C00000"/>
                      <w:kern w:val="36"/>
                      <w:sz w:val="28"/>
                      <w:szCs w:val="28"/>
                    </w:rPr>
                    <w:t>Поправки в статью 153 ТК РФ</w:t>
                  </w:r>
                </w:p>
              </w:tc>
            </w:tr>
          </w:tbl>
          <w:p w:rsidR="001E0F5E" w:rsidRDefault="001E0F5E" w:rsidP="006205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E0F5E" w:rsidRPr="00502D2A" w:rsidTr="00620518">
        <w:tc>
          <w:tcPr>
            <w:tcW w:w="11199" w:type="dxa"/>
          </w:tcPr>
          <w:p w:rsidR="001E0F5E" w:rsidRPr="001E0F5E" w:rsidRDefault="001E0F5E" w:rsidP="00620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  <w:p w:rsidR="001E0F5E" w:rsidRPr="001E0F5E" w:rsidRDefault="001E0F5E" w:rsidP="006205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0F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E0F5E" w:rsidRPr="001E0F5E" w:rsidRDefault="001E0F5E" w:rsidP="001E0F5E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2"/>
                <w:szCs w:val="22"/>
              </w:rPr>
            </w:pPr>
            <w:r w:rsidRPr="001E0F5E">
              <w:rPr>
                <w:rStyle w:val="s10"/>
                <w:b/>
                <w:bCs/>
                <w:color w:val="464C55"/>
                <w:sz w:val="22"/>
                <w:szCs w:val="22"/>
              </w:rPr>
              <w:t>Подготовлены поправки в Трудовой кодекс об оплате неиспользованных отгулов при увольнении</w:t>
            </w:r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hyperlink r:id="rId7" w:anchor="/document/76863865/entry/0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Проект федерального закона N 638766-8</w:t>
              </w:r>
            </w:hyperlink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1E0F5E">
              <w:rPr>
                <w:color w:val="22272F"/>
                <w:sz w:val="22"/>
                <w:szCs w:val="22"/>
              </w:rPr>
              <w:t>Согласно </w:t>
            </w:r>
            <w:hyperlink r:id="rId8" w:anchor="/document/12125268/entry/1532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части четвертой ст. 153</w:t>
              </w:r>
            </w:hyperlink>
            <w:r w:rsidRPr="001E0F5E">
              <w:rPr>
                <w:color w:val="22272F"/>
                <w:sz w:val="22"/>
                <w:szCs w:val="22"/>
              </w:rPr>
              <w:t> ТК РФ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В настоящее время вопрос о судьбе указанных дней отдыха в ситуации, когда работник не использовал их до момента прекращения трудовых отношений, законом не урегулирован. Отсутствие в данной норме указания на обязанность работодателя предоставить работнику дни отдыха за работу в выходные или нерабочие праздничные дни до момента увольнения приводило на практике к тому, что работник лишался как этих дней отдыха, так и повышенной оплаты такой работы. Суды часто отказывали в повышенной оплате работы в выходные или нерабочие праздничные дни на том основании, что между работником и работодателем по инициативе работника имелись договоренности о предоставлении дней отдыха, а замена неиспользованных дней отдыха денежной компенсацией при увольнении законом не предусмотрена (см., например, определения Восьмого КСОЮ </w:t>
            </w:r>
            <w:hyperlink r:id="rId9" w:tgtFrame="_blank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от 31.03.2022 N 8Г-5118/2022</w:t>
              </w:r>
            </w:hyperlink>
            <w:r w:rsidRPr="001E0F5E">
              <w:rPr>
                <w:color w:val="22272F"/>
                <w:sz w:val="22"/>
                <w:szCs w:val="22"/>
              </w:rPr>
              <w:t>, </w:t>
            </w:r>
            <w:hyperlink r:id="rId10" w:tgtFrame="_blank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от 20.01.2022 N 8Г-25896/2021,</w:t>
              </w:r>
            </w:hyperlink>
            <w:r w:rsidRPr="001E0F5E">
              <w:rPr>
                <w:color w:val="22272F"/>
                <w:sz w:val="22"/>
                <w:szCs w:val="22"/>
              </w:rPr>
              <w:t> Седьмого КСОЮ </w:t>
            </w:r>
            <w:hyperlink r:id="rId11" w:tgtFrame="_blank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от 06.05.2021 N 8Г-4137/2021</w:t>
              </w:r>
            </w:hyperlink>
            <w:r w:rsidRPr="001E0F5E">
              <w:rPr>
                <w:color w:val="22272F"/>
                <w:sz w:val="22"/>
                <w:szCs w:val="22"/>
              </w:rPr>
              <w:t>, Девятого КСОЮ </w:t>
            </w:r>
            <w:hyperlink r:id="rId12" w:tgtFrame="_blank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от 04.02.2021 N 8Г-329/2021</w:t>
              </w:r>
            </w:hyperlink>
            <w:r w:rsidRPr="001E0F5E">
              <w:rPr>
                <w:color w:val="22272F"/>
                <w:sz w:val="22"/>
                <w:szCs w:val="22"/>
              </w:rPr>
              <w:t>).</w:t>
            </w:r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1E0F5E">
              <w:rPr>
                <w:color w:val="22272F"/>
                <w:sz w:val="22"/>
                <w:szCs w:val="22"/>
              </w:rPr>
              <w:t>Рассматривая дело о проверке конституционности данной нормы, КС РФ пришел к выводу о том, что работодатель </w:t>
            </w:r>
            <w:r w:rsidRPr="001E0F5E">
              <w:rPr>
                <w:rStyle w:val="s10"/>
                <w:b/>
                <w:bCs/>
                <w:color w:val="22272F"/>
                <w:sz w:val="22"/>
                <w:szCs w:val="22"/>
              </w:rPr>
              <w:t>обязан</w:t>
            </w:r>
            <w:r w:rsidRPr="001E0F5E">
              <w:rPr>
                <w:color w:val="22272F"/>
                <w:sz w:val="22"/>
                <w:szCs w:val="22"/>
              </w:rPr>
              <w:t> при увольнении работника заменить неиспользованные дни отдыха повышенной оплатой, сам факт выбора ранее работником по согласованию с работодателем предоставления других дней отдыха вместо повышенного размера оплаты не может рассматриваться как препятствие для получения им такой денежной выплаты (см. </w:t>
            </w:r>
            <w:hyperlink r:id="rId13" w:anchor="/document/408147343/entry/0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постановление</w:t>
              </w:r>
            </w:hyperlink>
            <w:r w:rsidRPr="001E0F5E">
              <w:rPr>
                <w:color w:val="22272F"/>
                <w:sz w:val="22"/>
                <w:szCs w:val="22"/>
              </w:rPr>
              <w:t> от 06.12.2023 N 56-П</w:t>
            </w:r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"По делу о проверке конституционности части четвертой статьи 153 Трудового кодекса Российской Федерации в связи с жалобами граждан Н.А. </w:t>
            </w:r>
            <w:proofErr w:type="spellStart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Варнаковой</w:t>
            </w:r>
            <w:proofErr w:type="spellEnd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, Л.Г. Жуковой, О.А. </w:t>
            </w:r>
            <w:proofErr w:type="spellStart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Котивец</w:t>
            </w:r>
            <w:proofErr w:type="spellEnd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 xml:space="preserve"> и Т.С. </w:t>
            </w:r>
            <w:proofErr w:type="spellStart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Кубряк</w:t>
            </w:r>
            <w:proofErr w:type="spellEnd"/>
            <w:r w:rsidRPr="001E0F5E">
              <w:rPr>
                <w:color w:val="22272F"/>
                <w:sz w:val="22"/>
                <w:szCs w:val="22"/>
                <w:shd w:val="clear" w:color="auto" w:fill="FFFFFF"/>
              </w:rPr>
              <w:t>"</w:t>
            </w:r>
            <w:r w:rsidRPr="001E0F5E">
              <w:rPr>
                <w:color w:val="22272F"/>
                <w:sz w:val="22"/>
                <w:szCs w:val="22"/>
              </w:rPr>
              <w:t>).</w:t>
            </w:r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1E0F5E">
              <w:rPr>
                <w:color w:val="22272F"/>
                <w:sz w:val="22"/>
                <w:szCs w:val="22"/>
              </w:rPr>
              <w:t>Во исполнение </w:t>
            </w:r>
            <w:hyperlink r:id="rId14" w:anchor="/document/408147343/entry/0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постановления</w:t>
              </w:r>
            </w:hyperlink>
            <w:r w:rsidRPr="001E0F5E">
              <w:rPr>
                <w:color w:val="22272F"/>
                <w:sz w:val="22"/>
                <w:szCs w:val="22"/>
              </w:rPr>
              <w:t> КС РФ разработан законопроект о внесении изменений в </w:t>
            </w:r>
            <w:hyperlink r:id="rId15" w:anchor="/document/12125268/entry/153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ст. 153</w:t>
              </w:r>
            </w:hyperlink>
            <w:r w:rsidRPr="001E0F5E">
              <w:rPr>
                <w:color w:val="22272F"/>
                <w:sz w:val="22"/>
                <w:szCs w:val="22"/>
              </w:rPr>
              <w:t> ТК РФ. В статье предлагается прописать:</w:t>
            </w:r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1E0F5E">
              <w:rPr>
                <w:color w:val="22272F"/>
                <w:sz w:val="22"/>
                <w:szCs w:val="22"/>
              </w:rPr>
              <w:t>- </w:t>
            </w:r>
            <w:hyperlink r:id="rId16" w:anchor="/document/76863865/entry/1536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порядок</w:t>
              </w:r>
            </w:hyperlink>
            <w:r w:rsidRPr="001E0F5E">
              <w:rPr>
                <w:color w:val="22272F"/>
                <w:sz w:val="22"/>
                <w:szCs w:val="22"/>
              </w:rPr>
              <w:t> повышенной оплаты неиспользованных отгулов в день увольнения;</w:t>
            </w:r>
          </w:p>
          <w:p w:rsidR="001E0F5E" w:rsidRPr="001E0F5E" w:rsidRDefault="001E0F5E" w:rsidP="001E0F5E">
            <w:pPr>
              <w:pStyle w:val="s1"/>
              <w:shd w:val="clear" w:color="auto" w:fill="FFFFFF"/>
              <w:jc w:val="both"/>
              <w:rPr>
                <w:color w:val="22272F"/>
                <w:sz w:val="22"/>
                <w:szCs w:val="22"/>
              </w:rPr>
            </w:pPr>
            <w:r w:rsidRPr="001E0F5E">
              <w:rPr>
                <w:color w:val="22272F"/>
                <w:sz w:val="22"/>
                <w:szCs w:val="22"/>
              </w:rPr>
              <w:t>- </w:t>
            </w:r>
            <w:hyperlink r:id="rId17" w:anchor="/document/76863865/entry/1535" w:history="1">
              <w:r w:rsidRPr="001E0F5E">
                <w:rPr>
                  <w:rStyle w:val="a4"/>
                  <w:color w:val="3272C0"/>
                  <w:sz w:val="22"/>
                  <w:szCs w:val="22"/>
                </w:rPr>
                <w:t>положение</w:t>
              </w:r>
            </w:hyperlink>
            <w:r w:rsidRPr="001E0F5E">
              <w:rPr>
                <w:color w:val="22272F"/>
                <w:sz w:val="22"/>
                <w:szCs w:val="22"/>
              </w:rPr>
              <w:t> о том, что отгул может быть использован </w:t>
            </w:r>
            <w:r w:rsidRPr="001E0F5E">
              <w:rPr>
                <w:rStyle w:val="s10"/>
                <w:b/>
                <w:bCs/>
                <w:color w:val="22272F"/>
                <w:sz w:val="22"/>
                <w:szCs w:val="22"/>
              </w:rPr>
              <w:t>в течение года</w:t>
            </w:r>
            <w:r w:rsidRPr="001E0F5E">
              <w:rPr>
                <w:color w:val="22272F"/>
                <w:sz w:val="22"/>
                <w:szCs w:val="22"/>
              </w:rPr>
              <w:t> со дня работы в выходной или праздничный день либо присоединен к отпуску, предоставляемому в указанный период.</w:t>
            </w:r>
          </w:p>
          <w:p w:rsidR="001E0F5E" w:rsidRPr="001E0F5E" w:rsidRDefault="001E0F5E" w:rsidP="001E0F5E"/>
          <w:p w:rsidR="001E0F5E" w:rsidRPr="001E0F5E" w:rsidRDefault="001E0F5E" w:rsidP="006205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4"/>
                <w:color w:val="FF0000"/>
              </w:rPr>
            </w:pPr>
          </w:p>
          <w:p w:rsidR="001E0F5E" w:rsidRPr="001E0F5E" w:rsidRDefault="001E0F5E" w:rsidP="006205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E0F5E" w:rsidTr="00620518">
        <w:tc>
          <w:tcPr>
            <w:tcW w:w="11199" w:type="dxa"/>
          </w:tcPr>
          <w:p w:rsidR="001E0F5E" w:rsidRDefault="001E0F5E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E0F5E" w:rsidRPr="00D52B05" w:rsidRDefault="001E0F5E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E0F5E" w:rsidRPr="00D52B05" w:rsidRDefault="001E0F5E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1E0F5E" w:rsidRPr="00D52B05" w:rsidRDefault="001E0F5E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</w:t>
            </w:r>
            <w:r>
              <w:rPr>
                <w:rFonts w:ascii="Arial" w:hAnsi="Arial" w:cs="Arial"/>
                <w:b/>
                <w:sz w:val="16"/>
                <w:szCs w:val="16"/>
              </w:rPr>
              <w:t>, 2024</w:t>
            </w:r>
          </w:p>
          <w:p w:rsidR="001E0F5E" w:rsidRDefault="001E0F5E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1E0F5E"/>
    <w:sectPr w:rsidR="001339BF" w:rsidSect="001E0F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5E"/>
    <w:rsid w:val="001545F9"/>
    <w:rsid w:val="001E0F5E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1784"/>
  <w15:chartTrackingRefBased/>
  <w15:docId w15:val="{DF206BEB-60C6-42CD-B2D5-5457A9E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E0F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E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0F5E"/>
    <w:rPr>
      <w:color w:val="0000FF"/>
      <w:u w:val="single"/>
    </w:rPr>
  </w:style>
  <w:style w:type="paragraph" w:customStyle="1" w:styleId="s74">
    <w:name w:val="s_74"/>
    <w:basedOn w:val="a"/>
    <w:rsid w:val="001E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0F5E"/>
  </w:style>
  <w:style w:type="paragraph" w:customStyle="1" w:styleId="s1">
    <w:name w:val="s_1"/>
    <w:basedOn w:val="a"/>
    <w:rsid w:val="001E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services/arbitr/link/318184807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services/arbitr/link/320967413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services/arbitr/link/32626950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services/arbitr/link/326897506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2024-06-07T08:49:00Z</dcterms:created>
  <dcterms:modified xsi:type="dcterms:W3CDTF">2024-06-07T08:56:00Z</dcterms:modified>
</cp:coreProperties>
</file>