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A416C" w:rsidTr="0046759C">
        <w:trPr>
          <w:trHeight w:val="3954"/>
        </w:trPr>
        <w:tc>
          <w:tcPr>
            <w:tcW w:w="11199" w:type="dxa"/>
          </w:tcPr>
          <w:p w:rsidR="00AA416C" w:rsidRPr="00726C3F" w:rsidRDefault="00AA416C" w:rsidP="0046759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A416C" w:rsidTr="0046759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416C" w:rsidRDefault="00AA416C" w:rsidP="0046759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77CCFC0" wp14:editId="1A3ACC26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CB687A6" wp14:editId="617ECDD5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16C" w:rsidRDefault="00AA416C" w:rsidP="004675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A416C" w:rsidRPr="006355F5" w:rsidRDefault="00AA416C" w:rsidP="0046759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A416C" w:rsidRDefault="00AA416C" w:rsidP="0046759C">
                  <w:pPr>
                    <w:pStyle w:val="ConsPlusTitle"/>
                    <w:jc w:val="center"/>
                  </w:pPr>
                </w:p>
                <w:p w:rsidR="00AA416C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AA416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A416C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26</w:t>
                  </w:r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AA416C" w:rsidRPr="00502D2A" w:rsidRDefault="00AA416C" w:rsidP="00AA416C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Минобрнауки</w:t>
                  </w:r>
                  <w:proofErr w:type="spellEnd"/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разъясняет…</w:t>
                  </w:r>
                </w:p>
              </w:tc>
            </w:tr>
          </w:tbl>
          <w:p w:rsidR="00AA416C" w:rsidRDefault="00AA416C" w:rsidP="0046759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A416C" w:rsidRPr="00502D2A" w:rsidTr="0046759C">
        <w:tc>
          <w:tcPr>
            <w:tcW w:w="11199" w:type="dxa"/>
          </w:tcPr>
          <w:p w:rsid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proofErr w:type="spellStart"/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Минобрнауки</w:t>
            </w:r>
            <w:proofErr w:type="spellEnd"/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 xml:space="preserve"> представило разъяснения для работодателей по целевому обучению</w:t>
            </w:r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09179158/entry/0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Письмо </w:t>
              </w:r>
              <w:proofErr w:type="spellStart"/>
              <w:r w:rsidR="00AA416C">
                <w:rPr>
                  <w:rStyle w:val="a4"/>
                  <w:color w:val="3272C0"/>
                  <w:sz w:val="23"/>
                  <w:szCs w:val="23"/>
                </w:rPr>
                <w:t>Минобрнауки</w:t>
              </w:r>
              <w:proofErr w:type="spellEnd"/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 России от 3 мая 2024 г. N МН-5/1353-ОП</w:t>
              </w:r>
            </w:hyperlink>
            <w:r w:rsidR="00AA416C">
              <w:rPr>
                <w:color w:val="22272F"/>
                <w:sz w:val="23"/>
                <w:szCs w:val="23"/>
              </w:rPr>
              <w:t xml:space="preserve"> </w:t>
            </w:r>
            <w:proofErr w:type="spellStart"/>
            <w:r w:rsidR="00AA416C">
              <w:rPr>
                <w:color w:val="22272F"/>
                <w:sz w:val="23"/>
                <w:szCs w:val="23"/>
              </w:rPr>
              <w:t>Минобрнауки</w:t>
            </w:r>
            <w:proofErr w:type="spellEnd"/>
            <w:r w:rsidR="00AA416C">
              <w:rPr>
                <w:color w:val="22272F"/>
                <w:sz w:val="23"/>
                <w:szCs w:val="23"/>
              </w:rPr>
              <w:t xml:space="preserve"> России направило в адрес работодателей информацию о возможности удовлетворения кадровой потребности путем привлечения граждан на условиях целевого обучения.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Чиновники разъяснили: что понимать под целевым обучением; в каких форматах оно возможно; какова ответственность за неисполнение договора о целевом обучении; как сформировать предложение о заключении договора о целевом обучении; как привлекать "</w:t>
            </w:r>
            <w:proofErr w:type="spellStart"/>
            <w:r>
              <w:rPr>
                <w:color w:val="22272F"/>
                <w:sz w:val="23"/>
                <w:szCs w:val="23"/>
              </w:rPr>
              <w:t>целевиков</w:t>
            </w:r>
            <w:proofErr w:type="spellEnd"/>
            <w:r>
              <w:rPr>
                <w:color w:val="22272F"/>
                <w:sz w:val="23"/>
                <w:szCs w:val="23"/>
              </w:rPr>
              <w:t>".</w:t>
            </w:r>
          </w:p>
          <w:p w:rsid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proofErr w:type="spellStart"/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Минобрнауки</w:t>
            </w:r>
            <w:proofErr w:type="spellEnd"/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 xml:space="preserve"> рекомендует вузам информировать абитуриентов о возможности получения образовательного кредита с господдержкой</w:t>
            </w:r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8" w:anchor="/document/409072526/entry/0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Письмо </w:t>
              </w:r>
              <w:proofErr w:type="spellStart"/>
              <w:r w:rsidR="00AA416C">
                <w:rPr>
                  <w:rStyle w:val="a4"/>
                  <w:color w:val="3272C0"/>
                  <w:sz w:val="23"/>
                  <w:szCs w:val="23"/>
                </w:rPr>
                <w:t>Минобрнауки</w:t>
              </w:r>
              <w:proofErr w:type="spellEnd"/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 России от 13 мая 2024 г. N МН-18/647-АО</w:t>
              </w:r>
            </w:hyperlink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Ведомство напоминает, что граждане, поступившие на обучение по программам высшего образования, вправе воспользоваться мерами государственной поддержки образовательного кредитования, предусмотренными </w:t>
            </w:r>
            <w:hyperlink r:id="rId9" w:anchor="/document/74663986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постановлением</w:t>
              </w:r>
            </w:hyperlink>
            <w:r>
              <w:rPr>
                <w:color w:val="22272F"/>
                <w:sz w:val="23"/>
                <w:szCs w:val="23"/>
              </w:rPr>
              <w:t> Правительства РФ от 15.09.2020 N 1448.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Эти меры предполагают, в частности, установление фиксированной процентной ставки по кредиту на уровне 3% годовых, льготный период кредитования, который включает срок обучения и дополнительно девять месяцев (в течение этого периода заемщик не выплачивает банку основной долг и часть процентов за первый и второй годы пользования кредитом).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Важным условием данной программы является также отсутствие у заемщика обязанности по предоставлению обеспечения для получения кредита.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Кроме основного образовательного кредита, обучающийся имеет возможность получить также сопутствующий кредит - для оплаты расходов на проживание, питание, проезд, приобретение учебной и научной литературы и другие бытовые нужды.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рекомендует образовательным организациям при проведении приемной кампании 2024/2025 учебного года информировать обучающихся об указанных мерах господдержки.</w:t>
            </w:r>
          </w:p>
          <w:p w:rsid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A416C" w:rsidRPr="00416285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A416C" w:rsidTr="0046759C">
        <w:tc>
          <w:tcPr>
            <w:tcW w:w="11199" w:type="dxa"/>
          </w:tcPr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2024</w:t>
            </w:r>
          </w:p>
          <w:p w:rsidR="00AA416C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="00AA416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A416C" w:rsidRDefault="00AA416C" w:rsidP="00AA416C"/>
    <w:p w:rsidR="00AA416C" w:rsidRDefault="00AA416C" w:rsidP="00AA416C"/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A416C" w:rsidTr="00AA416C">
        <w:trPr>
          <w:trHeight w:val="3954"/>
        </w:trPr>
        <w:tc>
          <w:tcPr>
            <w:tcW w:w="11199" w:type="dxa"/>
          </w:tcPr>
          <w:p w:rsidR="00AA416C" w:rsidRPr="00726C3F" w:rsidRDefault="00AA416C" w:rsidP="0046759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A416C" w:rsidTr="0046759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416C" w:rsidRDefault="00AA416C" w:rsidP="0046759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51D45C" wp14:editId="634C9880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C83407E" wp14:editId="224DDB0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16C" w:rsidRDefault="00AA416C" w:rsidP="004675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A416C" w:rsidRPr="006355F5" w:rsidRDefault="00AA416C" w:rsidP="0046759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A416C" w:rsidRDefault="00AA416C" w:rsidP="0046759C">
                  <w:pPr>
                    <w:pStyle w:val="ConsPlusTitle"/>
                    <w:jc w:val="center"/>
                  </w:pPr>
                </w:p>
                <w:p w:rsidR="00AA416C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11" w:history="1">
                    <w:r w:rsidR="00AA416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A416C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27</w:t>
                  </w:r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AA416C" w:rsidRPr="00502D2A" w:rsidRDefault="00AA416C" w:rsidP="0046759C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Минтруд информирует….</w:t>
                  </w:r>
                </w:p>
              </w:tc>
            </w:tr>
          </w:tbl>
          <w:p w:rsidR="00AA416C" w:rsidRDefault="00AA416C" w:rsidP="0046759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A416C" w:rsidRPr="00502D2A" w:rsidTr="00AA416C">
        <w:tc>
          <w:tcPr>
            <w:tcW w:w="11199" w:type="dxa"/>
          </w:tcPr>
          <w:p w:rsidR="00AA416C" w:rsidRP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AA416C">
              <w:rPr>
                <w:rStyle w:val="s10"/>
                <w:b/>
                <w:bCs/>
                <w:color w:val="464C55"/>
              </w:rPr>
              <w:t>Минтруд считает, что работница может отказаться от перерывов для кормления ребенка</w:t>
            </w:r>
          </w:p>
          <w:p w:rsidR="00AA416C" w:rsidRP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12" w:anchor="/document/409206002/entry/0" w:history="1">
              <w:r w:rsidR="00AA416C" w:rsidRPr="00AA416C">
                <w:rPr>
                  <w:rStyle w:val="a4"/>
                  <w:color w:val="3272C0"/>
                </w:rPr>
                <w:t>Письма Минтруда России от 5 июня 2024 г. N 14-6/ООГ-3483</w:t>
              </w:r>
            </w:hyperlink>
            <w:r w:rsidR="00AA416C" w:rsidRPr="00AA416C">
              <w:rPr>
                <w:color w:val="22272F"/>
              </w:rPr>
              <w:t> и </w:t>
            </w:r>
            <w:hyperlink r:id="rId13" w:anchor="/document/409206006/entry/0" w:history="1">
              <w:r w:rsidR="00AA416C" w:rsidRPr="00AA416C">
                <w:rPr>
                  <w:rStyle w:val="a4"/>
                  <w:color w:val="3272C0"/>
                </w:rPr>
                <w:t>N 14-6/ООГ-3474</w:t>
              </w:r>
            </w:hyperlink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Буквальное толкование </w:t>
            </w:r>
            <w:hyperlink r:id="rId14" w:anchor="/document/12125268/entry/258" w:history="1">
              <w:r w:rsidRPr="00AA416C">
                <w:rPr>
                  <w:rStyle w:val="a4"/>
                  <w:color w:val="3272C0"/>
                </w:rPr>
                <w:t>ст. 258</w:t>
              </w:r>
            </w:hyperlink>
            <w:r w:rsidRPr="00AA416C">
              <w:rPr>
                <w:color w:val="22272F"/>
              </w:rPr>
              <w:t> ТК РФ позволяет сделать вывод о том, что перерывы для кормления предоставляются работницам в безусловном порядке. Правило о предоставлении перерывов для кормления следует считать обязательным как для работодателя, так и для работницы. Эти перерывы можно только перенести на другое время в течение дня, но отказаться от них совсем нельзя. К аналогичному </w:t>
            </w:r>
            <w:hyperlink r:id="rId15" w:anchor="/document/57323341/entry/0" w:history="1">
              <w:r w:rsidRPr="00AA416C">
                <w:rPr>
                  <w:rStyle w:val="a4"/>
                  <w:color w:val="3272C0"/>
                </w:rPr>
                <w:t>выводу</w:t>
              </w:r>
            </w:hyperlink>
            <w:r w:rsidRPr="00AA416C">
              <w:rPr>
                <w:color w:val="22272F"/>
              </w:rPr>
              <w:t xml:space="preserve"> приходят и некоторые специалисты </w:t>
            </w:r>
            <w:proofErr w:type="spellStart"/>
            <w:r w:rsidRPr="00AA416C">
              <w:rPr>
                <w:color w:val="22272F"/>
              </w:rPr>
              <w:t>Роструда</w:t>
            </w:r>
            <w:proofErr w:type="spellEnd"/>
            <w:r w:rsidRPr="00AA416C">
              <w:rPr>
                <w:color w:val="22272F"/>
              </w:rPr>
              <w:t>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 xml:space="preserve">Другие специалисты </w:t>
            </w:r>
            <w:proofErr w:type="spellStart"/>
            <w:r w:rsidRPr="00AA416C">
              <w:rPr>
                <w:color w:val="22272F"/>
              </w:rPr>
              <w:t>Роструда</w:t>
            </w:r>
            <w:proofErr w:type="spellEnd"/>
            <w:r w:rsidRPr="00AA416C">
              <w:rPr>
                <w:color w:val="22272F"/>
              </w:rPr>
              <w:t> </w:t>
            </w:r>
            <w:hyperlink r:id="rId16" w:anchor="/document/76870215/entry/0" w:history="1">
              <w:r w:rsidRPr="00AA416C">
                <w:rPr>
                  <w:rStyle w:val="a4"/>
                  <w:color w:val="3272C0"/>
                </w:rPr>
                <w:t>сообщают</w:t>
              </w:r>
            </w:hyperlink>
            <w:r w:rsidRPr="00AA416C">
              <w:rPr>
                <w:color w:val="22272F"/>
              </w:rPr>
              <w:t>, что работодатель в любом случае обязан предоставлять перерывы и выплачивать средний заработок за время этих перерывов, но женщина вправе их не использовать.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 xml:space="preserve">В разъяснениях </w:t>
            </w:r>
            <w:proofErr w:type="spellStart"/>
            <w:r w:rsidRPr="00AA416C">
              <w:rPr>
                <w:color w:val="22272F"/>
              </w:rPr>
              <w:t>Роструда</w:t>
            </w:r>
            <w:proofErr w:type="spellEnd"/>
            <w:r w:rsidRPr="00AA416C">
              <w:rPr>
                <w:color w:val="22272F"/>
              </w:rPr>
              <w:t xml:space="preserve"> встречается также </w:t>
            </w:r>
            <w:hyperlink r:id="rId17" w:anchor="/multilink/57401938/paragraph/142627/number/0" w:history="1">
              <w:r w:rsidRPr="00AA416C">
                <w:rPr>
                  <w:rStyle w:val="a4"/>
                  <w:color w:val="3272C0"/>
                </w:rPr>
                <w:t>мнение</w:t>
              </w:r>
            </w:hyperlink>
            <w:r w:rsidRPr="00AA416C">
              <w:rPr>
                <w:color w:val="22272F"/>
              </w:rPr>
              <w:t> о том, что необходимость предоставления перерывов определяется непосредственно женщиной; в случае отсутствия необходимости в перерыве для кормления женщина вправе отказаться от предоставления такого перерыва.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Аналогичное мнение совсем недавно высказал Минтруд в </w:t>
            </w:r>
            <w:hyperlink r:id="rId18" w:anchor="/multilink/57401938/paragraph/142628/number/0" w:history="1">
              <w:r w:rsidRPr="00AA416C">
                <w:rPr>
                  <w:rStyle w:val="a4"/>
                  <w:color w:val="3272C0"/>
                </w:rPr>
                <w:t>письмах</w:t>
              </w:r>
            </w:hyperlink>
            <w:r w:rsidRPr="00AA416C">
              <w:rPr>
                <w:color w:val="22272F"/>
              </w:rPr>
              <w:t> от 5 июня 2024 г. В ведомстве сообщили, что при отсутствии у женщины необходимости в дополнительных перерывах для кормления ребенка (детей) она может отказаться от них посредством подачи работодателю соответствующего письменного заявления.</w:t>
            </w:r>
          </w:p>
          <w:p w:rsidR="00AA416C" w:rsidRP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AA416C">
              <w:rPr>
                <w:rStyle w:val="s10"/>
                <w:b/>
                <w:bCs/>
                <w:color w:val="464C55"/>
              </w:rPr>
              <w:t>Как правильно принять на работу подростков: методические рекомендации</w:t>
            </w:r>
          </w:p>
          <w:p w:rsidR="00AA416C" w:rsidRP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19" w:anchor="/document/409198938/entry/0" w:history="1">
              <w:r w:rsidR="00AA416C" w:rsidRPr="00AA416C">
                <w:rPr>
                  <w:rStyle w:val="a4"/>
                  <w:color w:val="3272C0"/>
                </w:rPr>
                <w:t>Письмо Минтруда России от 30 мая 2024 г. N 14-6/10/В-8769</w:t>
              </w:r>
            </w:hyperlink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Разработаны методические рекомендации по организации трудовой деятельности несовершеннолетних граждан в возрасте от 14 до 18 лет в свободное от учебы время. В частности, они содержат: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- правовые </w:t>
            </w:r>
            <w:hyperlink r:id="rId20" w:anchor="/document/409198938/entry/1200" w:history="1">
              <w:r w:rsidRPr="00AA416C">
                <w:rPr>
                  <w:rStyle w:val="a4"/>
                  <w:color w:val="3272C0"/>
                </w:rPr>
                <w:t>основания</w:t>
              </w:r>
            </w:hyperlink>
            <w:r w:rsidRPr="00AA416C">
              <w:rPr>
                <w:color w:val="22272F"/>
              </w:rPr>
              <w:t> заключения трудового договора с несовершеннолетними;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- </w:t>
            </w:r>
            <w:hyperlink r:id="rId21" w:anchor="/document/409198938/entry/1300" w:history="1">
              <w:r w:rsidRPr="00AA416C">
                <w:rPr>
                  <w:rStyle w:val="a4"/>
                  <w:color w:val="3272C0"/>
                </w:rPr>
                <w:t>ограничения</w:t>
              </w:r>
            </w:hyperlink>
            <w:r w:rsidRPr="00AA416C">
              <w:rPr>
                <w:color w:val="22272F"/>
              </w:rPr>
              <w:t> по привлечению несовершеннолетних к труду во вредных и опасных условиях;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- </w:t>
            </w:r>
            <w:hyperlink r:id="rId22" w:anchor="/document/409198938/entry/1400" w:history="1">
              <w:r w:rsidRPr="00AA416C">
                <w:rPr>
                  <w:rStyle w:val="a4"/>
                  <w:color w:val="3272C0"/>
                </w:rPr>
                <w:t>особенности</w:t>
              </w:r>
            </w:hyperlink>
            <w:r w:rsidRPr="00AA416C">
              <w:rPr>
                <w:color w:val="22272F"/>
              </w:rPr>
              <w:t> установления рабочего времени;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- рекомендуемые </w:t>
            </w:r>
            <w:hyperlink r:id="rId23" w:anchor="/document/409198938/entry/1500" w:history="1">
              <w:r w:rsidRPr="00AA416C">
                <w:rPr>
                  <w:rStyle w:val="a4"/>
                  <w:color w:val="3272C0"/>
                </w:rPr>
                <w:t>правила</w:t>
              </w:r>
            </w:hyperlink>
            <w:r w:rsidRPr="00AA416C">
              <w:rPr>
                <w:color w:val="22272F"/>
              </w:rPr>
              <w:t> подбора перечня работ для несовершеннолетних при содействии в их трудоустройстве;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lastRenderedPageBreak/>
              <w:t>- </w:t>
            </w:r>
            <w:hyperlink r:id="rId24" w:anchor="/document/409198938/entry/1600" w:history="1">
              <w:r w:rsidRPr="00AA416C">
                <w:rPr>
                  <w:rStyle w:val="a4"/>
                  <w:color w:val="3272C0"/>
                </w:rPr>
                <w:t>порядок</w:t>
              </w:r>
            </w:hyperlink>
            <w:r w:rsidRPr="00AA416C">
              <w:rPr>
                <w:color w:val="22272F"/>
              </w:rPr>
              <w:t> приема на работу несовершеннолетнего.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Кроме того, Минтруд привел </w:t>
            </w:r>
            <w:hyperlink r:id="rId25" w:anchor="/document/409198938/entry/11000" w:history="1">
              <w:r w:rsidRPr="00AA416C">
                <w:rPr>
                  <w:rStyle w:val="a4"/>
                  <w:color w:val="3272C0"/>
                </w:rPr>
                <w:t>перечень</w:t>
              </w:r>
            </w:hyperlink>
            <w:r w:rsidRPr="00AA416C">
              <w:rPr>
                <w:color w:val="22272F"/>
              </w:rPr>
              <w:t> работ, рекомендуемых для несовершеннолетних с учетом ограничений, установленных трудовым законодательством России. В нем 59 профессий (должностей), например, оператор электронно-вычислительных и вычислительных машин, промоутер, комплектовщик, мойщик посуды, курьер. По отдельным работам даже </w:t>
            </w:r>
            <w:hyperlink r:id="rId26" w:anchor="/document/409198938/entry/12000" w:history="1">
              <w:r w:rsidRPr="00AA416C">
                <w:rPr>
                  <w:rStyle w:val="a4"/>
                  <w:color w:val="3272C0"/>
                </w:rPr>
                <w:t>представлены</w:t>
              </w:r>
            </w:hyperlink>
            <w:r w:rsidRPr="00AA416C">
              <w:rPr>
                <w:color w:val="22272F"/>
              </w:rPr>
              <w:t> примерные должностные (рабочие) инструкции.</w:t>
            </w:r>
          </w:p>
          <w:p w:rsidR="00AA416C" w:rsidRP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AA416C">
              <w:rPr>
                <w:rStyle w:val="s10"/>
                <w:b/>
                <w:bCs/>
                <w:color w:val="464C55"/>
              </w:rPr>
              <w:t>Минтруд сообщил, что зарплату за месяц, в котором работнику предоставляется отгул, надо выплатить полностью</w:t>
            </w:r>
          </w:p>
          <w:p w:rsidR="00AA416C" w:rsidRP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27" w:anchor="/document/409053346/entry/0" w:history="1">
              <w:r w:rsidR="00AA416C" w:rsidRPr="00AA416C">
                <w:rPr>
                  <w:rStyle w:val="a4"/>
                  <w:color w:val="3272C0"/>
                </w:rPr>
                <w:t>Письмо Минтруда РФ от 1 апреля 2024 г. N 14-5/ООГ-1871</w:t>
              </w:r>
            </w:hyperlink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По желанию работника, работавшего в выходной или праздничный день, ему может быть предоставлен другой день отдыха. В этом случае работа в выходной или праздничный день оплачивается в одинарном размере, а день отдыха оплате не подлежит (</w:t>
            </w:r>
            <w:hyperlink r:id="rId28" w:anchor="/document/12125268/entry/1532" w:history="1">
              <w:r w:rsidRPr="00AA416C">
                <w:rPr>
                  <w:rStyle w:val="a4"/>
                  <w:color w:val="3272C0"/>
                </w:rPr>
                <w:t>часть четвертая ст. 153</w:t>
              </w:r>
            </w:hyperlink>
            <w:r w:rsidRPr="00AA416C">
              <w:rPr>
                <w:color w:val="22272F"/>
              </w:rPr>
              <w:t> ТК РФ).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В Минтруде сообщили, что за месяц, в котором работник работал в выходной день или нерабочий праздничный день, нужно заплатить заработную плату полностью, а также одинарную дневную часть заработной платы, а за месяц, в котором работник взял день отдыха, - заработную плату полностью, при этом работник отработает на один день меньше. Данное правило применяется вне зависимости от количества дней отдыха, предоставляемых работнику в качестве компенсации за работу в выходной или нерабочий праздничный день в конкретном месяце.</w:t>
            </w:r>
          </w:p>
          <w:p w:rsidR="00AA416C" w:rsidRP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AA416C">
              <w:rPr>
                <w:color w:val="22272F"/>
              </w:rPr>
              <w:t>Похожее толкование </w:t>
            </w:r>
            <w:hyperlink r:id="rId29" w:anchor="/document/12125268/entry/1532" w:history="1">
              <w:r w:rsidRPr="00AA416C">
                <w:rPr>
                  <w:rStyle w:val="a4"/>
                  <w:color w:val="3272C0"/>
                </w:rPr>
                <w:t>части четвертой ст. 153</w:t>
              </w:r>
            </w:hyperlink>
            <w:r w:rsidRPr="00AA416C">
              <w:rPr>
                <w:color w:val="22272F"/>
              </w:rPr>
              <w:t> ТК РФ встречается в </w:t>
            </w:r>
            <w:hyperlink r:id="rId30" w:anchor="/document/400366047/entry/0" w:history="1">
              <w:r w:rsidRPr="00AA416C">
                <w:rPr>
                  <w:rStyle w:val="a4"/>
                  <w:color w:val="3272C0"/>
                </w:rPr>
                <w:t>письме</w:t>
              </w:r>
            </w:hyperlink>
            <w:r w:rsidRPr="00AA416C">
              <w:rPr>
                <w:color w:val="22272F"/>
              </w:rPr>
              <w:t> Минтруда России от 21.01.2020 N 14-1/ООГ-327, </w:t>
            </w:r>
            <w:hyperlink r:id="rId31" w:anchor="/document/70692880/entry/10500" w:history="1">
              <w:r w:rsidRPr="00AA416C">
                <w:rPr>
                  <w:rStyle w:val="a4"/>
                  <w:color w:val="3272C0"/>
                </w:rPr>
                <w:t>Рекомендациях</w:t>
              </w:r>
            </w:hyperlink>
            <w:r w:rsidRPr="00AA416C">
              <w:rPr>
                <w:color w:val="22272F"/>
              </w:rPr>
              <w:t> </w:t>
            </w:r>
            <w:proofErr w:type="spellStart"/>
            <w:r w:rsidRPr="00AA416C">
              <w:rPr>
                <w:color w:val="22272F"/>
              </w:rPr>
              <w:t>Роструда</w:t>
            </w:r>
            <w:proofErr w:type="spellEnd"/>
            <w:r w:rsidRPr="00AA416C">
              <w:rPr>
                <w:color w:val="22272F"/>
              </w:rPr>
              <w:t>..., утв. протоколом N 1 от 02.06.2014; </w:t>
            </w:r>
            <w:hyperlink r:id="rId32" w:anchor="/document/72158258/entry/0" w:history="1">
              <w:r w:rsidRPr="00AA416C">
                <w:rPr>
                  <w:rStyle w:val="a4"/>
                  <w:color w:val="3272C0"/>
                </w:rPr>
                <w:t>письме</w:t>
              </w:r>
            </w:hyperlink>
            <w:r w:rsidRPr="00AA416C">
              <w:rPr>
                <w:color w:val="22272F"/>
              </w:rPr>
              <w:t> </w:t>
            </w:r>
            <w:proofErr w:type="spellStart"/>
            <w:r w:rsidRPr="00AA416C">
              <w:rPr>
                <w:color w:val="22272F"/>
              </w:rPr>
              <w:t>Роструда</w:t>
            </w:r>
            <w:proofErr w:type="spellEnd"/>
            <w:r w:rsidRPr="00AA416C">
              <w:rPr>
                <w:color w:val="22272F"/>
              </w:rPr>
              <w:t xml:space="preserve"> от 19.12.2017 N ТЗ/8068-6-1).</w:t>
            </w:r>
          </w:p>
          <w:p w:rsidR="00AA416C" w:rsidRP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A416C" w:rsidRP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A416C" w:rsidTr="00AA416C">
        <w:tc>
          <w:tcPr>
            <w:tcW w:w="11199" w:type="dxa"/>
          </w:tcPr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2024</w:t>
            </w:r>
          </w:p>
          <w:p w:rsidR="00AA416C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33" w:history="1">
              <w:r w:rsidR="00AA416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AA416C" w:rsidTr="00AA416C">
        <w:tc>
          <w:tcPr>
            <w:tcW w:w="11199" w:type="dxa"/>
          </w:tcPr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Default="00AA416C" w:rsidP="00AA41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416C" w:rsidTr="00AA416C">
        <w:trPr>
          <w:trHeight w:val="3954"/>
        </w:trPr>
        <w:tc>
          <w:tcPr>
            <w:tcW w:w="11199" w:type="dxa"/>
          </w:tcPr>
          <w:p w:rsidR="00AA416C" w:rsidRPr="00726C3F" w:rsidRDefault="00AA416C" w:rsidP="0046759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A416C" w:rsidTr="0046759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416C" w:rsidRDefault="00AA416C" w:rsidP="0046759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51D45C" wp14:editId="634C9880">
                        <wp:extent cx="1798320" cy="1973580"/>
                        <wp:effectExtent l="0" t="0" r="0" b="7620"/>
                        <wp:docPr id="3" name="Рисунок 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C83407E" wp14:editId="224DDB05">
                        <wp:extent cx="1036320" cy="1501140"/>
                        <wp:effectExtent l="0" t="0" r="0" b="3810"/>
                        <wp:docPr id="4" name="Рисунок 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16C" w:rsidRDefault="00AA416C" w:rsidP="004675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A416C" w:rsidRPr="006355F5" w:rsidRDefault="00AA416C" w:rsidP="0046759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A416C" w:rsidRDefault="00AA416C" w:rsidP="0046759C">
                  <w:pPr>
                    <w:pStyle w:val="ConsPlusTitle"/>
                    <w:jc w:val="center"/>
                  </w:pPr>
                </w:p>
                <w:p w:rsidR="00AA416C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34" w:history="1">
                    <w:r w:rsidR="00AA416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A416C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28</w:t>
                  </w:r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AA416C" w:rsidRPr="00502D2A" w:rsidRDefault="00AA416C" w:rsidP="0046759C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Штрафы работодателю за отсутствие трудовых книжек. </w:t>
                  </w:r>
                </w:p>
              </w:tc>
            </w:tr>
          </w:tbl>
          <w:p w:rsidR="00AA416C" w:rsidRDefault="00AA416C" w:rsidP="0046759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A416C" w:rsidRPr="00502D2A" w:rsidTr="00AA416C">
        <w:tc>
          <w:tcPr>
            <w:tcW w:w="11199" w:type="dxa"/>
          </w:tcPr>
          <w:p w:rsid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За отсутствие журнала учета трудовых книжек работодателя могут оштрафовать</w:t>
            </w:r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35" w:anchor="/document/481255233/entry/0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Ответ </w:t>
              </w:r>
              <w:proofErr w:type="spellStart"/>
              <w:r w:rsidR="00AA416C">
                <w:rPr>
                  <w:rStyle w:val="a4"/>
                  <w:color w:val="3272C0"/>
                  <w:sz w:val="23"/>
                  <w:szCs w:val="23"/>
                </w:rPr>
                <w:t>Роструда</w:t>
              </w:r>
              <w:proofErr w:type="spellEnd"/>
              <w:r w:rsidR="00AA416C">
                <w:rPr>
                  <w:rStyle w:val="a4"/>
                  <w:color w:val="3272C0"/>
                  <w:sz w:val="23"/>
                  <w:szCs w:val="23"/>
                </w:rPr>
                <w:t xml:space="preserve"> с информационного портала "</w:t>
              </w:r>
              <w:proofErr w:type="spellStart"/>
              <w:r w:rsidR="00AA416C">
                <w:rPr>
                  <w:rStyle w:val="a4"/>
                  <w:color w:val="3272C0"/>
                  <w:sz w:val="23"/>
                  <w:szCs w:val="23"/>
                </w:rPr>
                <w:t>Онлайнинспекция.РФ</w:t>
              </w:r>
              <w:proofErr w:type="spellEnd"/>
              <w:r w:rsidR="00AA416C">
                <w:rPr>
                  <w:rStyle w:val="a4"/>
                  <w:color w:val="3272C0"/>
                  <w:sz w:val="23"/>
                  <w:szCs w:val="23"/>
                </w:rPr>
                <w:t>" (июнь 2024 г.)</w:t>
              </w:r>
            </w:hyperlink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Инспекторы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со ссылкой на </w:t>
            </w:r>
            <w:hyperlink r:id="rId36" w:anchor="/document/400845402/entry/2039" w:history="1">
              <w:r>
                <w:rPr>
                  <w:rStyle w:val="a4"/>
                  <w:color w:val="3272C0"/>
                  <w:sz w:val="23"/>
                  <w:szCs w:val="23"/>
                </w:rPr>
                <w:t>положения </w:t>
              </w:r>
            </w:hyperlink>
            <w:r>
              <w:rPr>
                <w:color w:val="22272F"/>
                <w:sz w:val="23"/>
                <w:szCs w:val="23"/>
              </w:rPr>
              <w:t>Приказа Минтруда России от 19.05.2021 N 320н напоминают, что работодатель должен вести: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книгу (журнал) по учету движения трудовых книжек и вкладышей в них;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книгу (журнал) по учету бланков трудовых книжек и вкладышей в них.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Форму указанных книг (журналов) работодатель </w:t>
            </w:r>
            <w:hyperlink r:id="rId37" w:anchor="/document/400845402/entry/2040" w:history="1">
              <w:r>
                <w:rPr>
                  <w:rStyle w:val="a4"/>
                  <w:color w:val="3272C0"/>
                  <w:sz w:val="23"/>
                  <w:szCs w:val="23"/>
                </w:rPr>
                <w:t>разрабатывает</w:t>
              </w:r>
            </w:hyperlink>
            <w:r>
              <w:rPr>
                <w:color w:val="22272F"/>
                <w:sz w:val="23"/>
                <w:szCs w:val="23"/>
              </w:rPr>
              <w:t> самостоятельно. Однако установлены некоторые требования по их содержанию. Так, в книге по учету движения трудовых книжек должны быть указаны трудовые книжки, принятые от работников при поступлении на работу, а также трудовые книжки и вкладыши в нее, выдаваемые работникам вновь, с указанием их серии и номера. В книге по учету бланков трудовых книжек фиксируются сведения о всех операциях, связанных с получением и расходованием бланков трудовой книжки и вкладыша в нее, с указанием серии и номера каждого бланка. Указанные книги (журналы) должны быть пронумерованы, прошнурованы, заверены подписью руководителя организации, ИП, печатью (при наличии).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Отсутствие книги по учету движения трудовых книжек и книги по учету бланков приравнивается к нарушению трудового законодательства, за которые по </w:t>
            </w:r>
            <w:hyperlink r:id="rId38" w:anchor="/document/12125267/entry/527" w:history="1">
              <w:r>
                <w:rPr>
                  <w:rStyle w:val="a4"/>
                  <w:color w:val="3272C0"/>
                  <w:sz w:val="23"/>
                  <w:szCs w:val="23"/>
                </w:rPr>
                <w:t>ст. 5.27</w:t>
              </w:r>
            </w:hyperlink>
            <w:r>
              <w:rPr>
                <w:color w:val="22272F"/>
                <w:sz w:val="23"/>
                <w:szCs w:val="23"/>
              </w:rPr>
              <w:t> КоАП РФ предусмотрена ответственность: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для должностных лиц - предупреждение или штраф от 1 тыс. до 5 тыс. рублей;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- для организаций - штраф от 30 тыс. до 50 тыс. рублей.</w:t>
            </w:r>
          </w:p>
          <w:p w:rsid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A416C" w:rsidRPr="00416285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A416C" w:rsidTr="00AA416C">
        <w:tc>
          <w:tcPr>
            <w:tcW w:w="11199" w:type="dxa"/>
          </w:tcPr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2024</w:t>
            </w:r>
          </w:p>
          <w:p w:rsidR="00AA416C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39" w:history="1">
              <w:r w:rsidR="00AA416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  <w:tr w:rsidR="00AA416C" w:rsidTr="00AA416C">
        <w:trPr>
          <w:trHeight w:val="3954"/>
        </w:trPr>
        <w:tc>
          <w:tcPr>
            <w:tcW w:w="11199" w:type="dxa"/>
          </w:tcPr>
          <w:p w:rsidR="00AA416C" w:rsidRPr="00726C3F" w:rsidRDefault="00AA416C" w:rsidP="0046759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lastRenderedPageBreak/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A416C" w:rsidTr="0046759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416C" w:rsidRDefault="00AA416C" w:rsidP="0046759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51D45C" wp14:editId="634C9880">
                        <wp:extent cx="1798320" cy="1973580"/>
                        <wp:effectExtent l="0" t="0" r="0" b="7620"/>
                        <wp:docPr id="5" name="Рисунок 5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C83407E" wp14:editId="224DDB05">
                        <wp:extent cx="1036320" cy="1501140"/>
                        <wp:effectExtent l="0" t="0" r="0" b="3810"/>
                        <wp:docPr id="6" name="Рисунок 6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416C" w:rsidRDefault="00AA416C" w:rsidP="004675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A416C" w:rsidRPr="006355F5" w:rsidRDefault="00AA416C" w:rsidP="0046759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A416C" w:rsidRDefault="00AA416C" w:rsidP="0046759C">
                  <w:pPr>
                    <w:pStyle w:val="ConsPlusTitle"/>
                    <w:jc w:val="center"/>
                  </w:pPr>
                </w:p>
                <w:p w:rsidR="00AA416C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40" w:history="1">
                    <w:r w:rsidR="00AA416C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A416C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29</w:t>
                  </w:r>
                </w:p>
                <w:p w:rsidR="00AA416C" w:rsidRPr="00A037AE" w:rsidRDefault="00AA416C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AA416C" w:rsidRPr="00502D2A" w:rsidRDefault="00AA416C" w:rsidP="0046759C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Судебная практика: уважительная причина для отсутствия на работе.</w:t>
                  </w:r>
                </w:p>
              </w:tc>
            </w:tr>
          </w:tbl>
          <w:p w:rsidR="00AA416C" w:rsidRDefault="00AA416C" w:rsidP="0046759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A416C" w:rsidRPr="00502D2A" w:rsidTr="00AA416C">
        <w:tc>
          <w:tcPr>
            <w:tcW w:w="11199" w:type="dxa"/>
          </w:tcPr>
          <w:p w:rsidR="00AA416C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A416C" w:rsidRDefault="00AA416C" w:rsidP="00AA416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Уважительной причиной для отсутствия на работе является обращение за медицинской помощью, в том числе без открытия больничного листа</w:t>
            </w:r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41" w:tgtFrame="_blank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>Определение Шестого КСОЮ от 14 марта 2024 г. N 8Г-3863/2024</w:t>
              </w:r>
            </w:hyperlink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42" w:tgtFrame="_blank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>Определение Первого КСОЮ от 11 марта 2024 г. N 8Г-4916/2024</w:t>
              </w:r>
            </w:hyperlink>
          </w:p>
          <w:p w:rsidR="00AA416C" w:rsidRDefault="00E03334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43" w:tgtFrame="_blank" w:history="1">
              <w:r w:rsidR="00AA416C">
                <w:rPr>
                  <w:rStyle w:val="a4"/>
                  <w:color w:val="3272C0"/>
                  <w:sz w:val="23"/>
                  <w:szCs w:val="23"/>
                </w:rPr>
                <w:t>Определение Седьмого КСОЮ от 01 февраля 2024 г. N 8Г-23491/2023</w:t>
              </w:r>
            </w:hyperlink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Представляем вашему вниманию свежую судебную практику о том, что обращение работника за медицинской помощью без открытия больничного листа является уважительной причиной для отсутствия на работе.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Например, Седьмой КСОЮ </w:t>
            </w:r>
            <w:hyperlink r:id="rId44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признал</w:t>
              </w:r>
            </w:hyperlink>
            <w:r>
              <w:rPr>
                <w:color w:val="22272F"/>
                <w:sz w:val="23"/>
                <w:szCs w:val="23"/>
              </w:rPr>
              <w:t> незаконным выговор сотруднику, который обратился в рабочее время за медицинской помощью в лечебное учреждение и предупредил об этом работодателя в служебной записке.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Первый КСОЮ </w:t>
            </w:r>
            <w:hyperlink r:id="rId45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посчитал</w:t>
              </w:r>
            </w:hyperlink>
            <w:r>
              <w:rPr>
                <w:color w:val="22272F"/>
                <w:sz w:val="23"/>
                <w:szCs w:val="23"/>
              </w:rPr>
              <w:t> незаконным увольнение за прогул работника, который отсутствовал на рабочем месте по причине прохождения эндоскопических исследований и посещения врачей, что подтверждалось представленными им результатами обследований.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Шестой КСОЮ </w:t>
            </w:r>
            <w:hyperlink r:id="rId46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отменил</w:t>
              </w:r>
            </w:hyperlink>
            <w:r>
              <w:rPr>
                <w:color w:val="22272F"/>
                <w:sz w:val="23"/>
                <w:szCs w:val="23"/>
              </w:rPr>
              <w:t> увольнение за прогул медсестры, которая пропустила две смены по причине болезненного состояния, в подтверждение она представила справку о вызове скорой помощи и направление на госпитализацию.</w:t>
            </w:r>
          </w:p>
          <w:p w:rsidR="00AA416C" w:rsidRDefault="00AA416C" w:rsidP="00AA416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 сведению: уважительным поводом для отсутствия на работе может считаться и плохое самочувствие работника (см. об этом наш </w:t>
            </w:r>
            <w:hyperlink r:id="rId47" w:anchor="/document/57401942/entry/202405142" w:history="1">
              <w:r>
                <w:rPr>
                  <w:rStyle w:val="a4"/>
                  <w:color w:val="3272C0"/>
                  <w:sz w:val="23"/>
                  <w:szCs w:val="23"/>
                </w:rPr>
                <w:t>материал</w:t>
              </w:r>
            </w:hyperlink>
            <w:r>
              <w:rPr>
                <w:color w:val="22272F"/>
                <w:sz w:val="23"/>
                <w:szCs w:val="23"/>
              </w:rPr>
              <w:t>, а также определения Восьмого КСОЮ </w:t>
            </w:r>
            <w:hyperlink r:id="rId48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15.02.2024 N 8Г-566/2024</w:t>
              </w:r>
            </w:hyperlink>
            <w:r>
              <w:rPr>
                <w:color w:val="22272F"/>
                <w:sz w:val="23"/>
                <w:szCs w:val="23"/>
              </w:rPr>
              <w:t>, Третьего КСОЮ </w:t>
            </w:r>
            <w:hyperlink r:id="rId49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от 31.03.2021 N 8Г-956/2021</w:t>
              </w:r>
            </w:hyperlink>
            <w:r>
              <w:rPr>
                <w:color w:val="22272F"/>
                <w:sz w:val="23"/>
                <w:szCs w:val="23"/>
              </w:rPr>
              <w:t>, </w:t>
            </w:r>
            <w:hyperlink r:id="rId50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обобщение</w:t>
              </w:r>
            </w:hyperlink>
            <w:r>
              <w:rPr>
                <w:color w:val="22272F"/>
                <w:sz w:val="23"/>
                <w:szCs w:val="23"/>
              </w:rPr>
              <w:t> судебной практики судебной коллегии по гражданским делам Забайкальского краевого суда за первое полугодие 2020 года).</w:t>
            </w:r>
          </w:p>
          <w:p w:rsidR="00AA416C" w:rsidRPr="00416285" w:rsidRDefault="00AA416C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A416C" w:rsidTr="00AA416C">
        <w:tc>
          <w:tcPr>
            <w:tcW w:w="11199" w:type="dxa"/>
          </w:tcPr>
          <w:p w:rsidR="00AA416C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A416C" w:rsidRPr="00D52B05" w:rsidRDefault="00AA416C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2024</w:t>
            </w:r>
          </w:p>
          <w:p w:rsidR="00AA416C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51" w:history="1">
              <w:r w:rsidR="00AA416C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1339BF" w:rsidRDefault="00E03334"/>
    <w:p w:rsidR="00E03334" w:rsidRDefault="00E03334"/>
    <w:p w:rsidR="00E03334" w:rsidRDefault="00E03334"/>
    <w:p w:rsidR="00E03334" w:rsidRDefault="00E03334"/>
    <w:p w:rsidR="00E03334" w:rsidRDefault="00E03334"/>
    <w:p w:rsidR="00E03334" w:rsidRDefault="00E03334" w:rsidP="00E0333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03334" w:rsidTr="0046759C">
        <w:trPr>
          <w:trHeight w:val="3954"/>
        </w:trPr>
        <w:tc>
          <w:tcPr>
            <w:tcW w:w="11199" w:type="dxa"/>
          </w:tcPr>
          <w:p w:rsidR="00E03334" w:rsidRPr="00726C3F" w:rsidRDefault="00E03334" w:rsidP="0046759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03334" w:rsidTr="0046759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334" w:rsidRDefault="00E03334" w:rsidP="0046759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352957" wp14:editId="047FB5CB">
                        <wp:extent cx="1798320" cy="1973580"/>
                        <wp:effectExtent l="0" t="0" r="0" b="7620"/>
                        <wp:docPr id="7" name="Рисунок 7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6DCF4A" wp14:editId="39B6199B">
                        <wp:extent cx="1036320" cy="1501140"/>
                        <wp:effectExtent l="0" t="0" r="0" b="3810"/>
                        <wp:docPr id="8" name="Рисунок 8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3334" w:rsidRDefault="00E03334" w:rsidP="004675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03334" w:rsidRPr="006355F5" w:rsidRDefault="00E03334" w:rsidP="0046759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03334" w:rsidRDefault="00E03334" w:rsidP="0046759C">
                  <w:pPr>
                    <w:pStyle w:val="ConsPlusTitle"/>
                    <w:jc w:val="center"/>
                  </w:pPr>
                </w:p>
                <w:p w:rsidR="00E03334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52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03334" w:rsidRPr="00A037AE" w:rsidRDefault="00E03334" w:rsidP="0046759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03334" w:rsidRDefault="00E03334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30</w:t>
                  </w:r>
                </w:p>
                <w:p w:rsidR="00E03334" w:rsidRPr="00A037AE" w:rsidRDefault="00E03334" w:rsidP="0046759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E03334" w:rsidRPr="008564A3" w:rsidRDefault="00E03334" w:rsidP="0046759C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8564A3">
                    <w:rPr>
                      <w:bCs/>
                      <w:kern w:val="36"/>
                      <w:sz w:val="28"/>
                      <w:szCs w:val="28"/>
                    </w:rPr>
                    <w:t>Решения Правительства</w:t>
                  </w:r>
                </w:p>
              </w:tc>
            </w:tr>
          </w:tbl>
          <w:p w:rsidR="00E03334" w:rsidRDefault="00E03334" w:rsidP="0046759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03334" w:rsidRPr="00502D2A" w:rsidTr="0046759C">
        <w:tc>
          <w:tcPr>
            <w:tcW w:w="11199" w:type="dxa"/>
          </w:tcPr>
          <w:p w:rsidR="00E03334" w:rsidRDefault="00E03334" w:rsidP="0046759C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464C55"/>
                <w:sz w:val="23"/>
                <w:szCs w:val="23"/>
              </w:rPr>
              <w:t>Установлена величина прожиточного минимума в целом по России на 2025 год</w:t>
            </w:r>
          </w:p>
          <w:p w:rsidR="00E03334" w:rsidRDefault="00E03334" w:rsidP="0046759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53" w:anchor="/document/409206380/entry/0" w:history="1">
              <w:r>
                <w:rPr>
                  <w:rStyle w:val="a4"/>
                  <w:color w:val="3272C0"/>
                  <w:sz w:val="23"/>
                  <w:szCs w:val="23"/>
                </w:rPr>
                <w:t>Постановление Правительства РФ от 12 июня 2024 г. N 789</w:t>
              </w:r>
            </w:hyperlink>
          </w:p>
          <w:p w:rsidR="00E03334" w:rsidRDefault="00E03334" w:rsidP="0046759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 1 января 2025 г. величина прожиточного минимума в целом по Российской Федерации установлена на следующем уровне: на душу населения 17 733 руб., для трудоспособного населения - 19 329 руб., пенсионеров -15 250 руб., детей - 17 201 руб.</w:t>
            </w:r>
          </w:p>
          <w:p w:rsidR="00E03334" w:rsidRDefault="00E03334" w:rsidP="0046759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Напомним, что прожиточный минимум в целом по РФ </w:t>
            </w:r>
            <w:hyperlink r:id="rId54" w:anchor="/document/172780/entry/100213" w:history="1">
              <w:r>
                <w:rPr>
                  <w:rStyle w:val="a4"/>
                  <w:color w:val="3272C0"/>
                  <w:sz w:val="23"/>
                  <w:szCs w:val="23"/>
                </w:rPr>
                <w:t>предназначается</w:t>
              </w:r>
            </w:hyperlink>
            <w:r>
              <w:rPr>
                <w:color w:val="22272F"/>
                <w:sz w:val="23"/>
                <w:szCs w:val="23"/>
              </w:rPr>
              <w:t>, в частности, для определения устанавливаемых на федеральном уровне размеров стипендий, пособий и других социальных выплат. Его величина на 2024 г. (также как и на 2022, 2023 гг.) в </w:t>
            </w:r>
            <w:hyperlink r:id="rId55" w:anchor="/document/405873551/entry/12" w:history="1">
              <w:r>
                <w:rPr>
                  <w:rStyle w:val="a4"/>
                  <w:color w:val="3272C0"/>
                  <w:sz w:val="23"/>
                  <w:szCs w:val="23"/>
                </w:rPr>
                <w:t>исключение</w:t>
              </w:r>
            </w:hyperlink>
            <w:r>
              <w:rPr>
                <w:color w:val="22272F"/>
                <w:sz w:val="23"/>
                <w:szCs w:val="23"/>
              </w:rPr>
              <w:t> из общего </w:t>
            </w:r>
            <w:hyperlink r:id="rId56" w:anchor="/document/172780/entry/60000" w:history="1">
              <w:r>
                <w:rPr>
                  <w:rStyle w:val="a4"/>
                  <w:color w:val="3272C0"/>
                  <w:sz w:val="23"/>
                  <w:szCs w:val="23"/>
                </w:rPr>
                <w:t>правила</w:t>
              </w:r>
            </w:hyperlink>
            <w:r>
              <w:rPr>
                <w:color w:val="22272F"/>
                <w:sz w:val="23"/>
                <w:szCs w:val="23"/>
              </w:rPr>
              <w:t> установлена не Правительством РФ, а </w:t>
            </w:r>
            <w:hyperlink r:id="rId57" w:anchor="/document/408079281/entry/804" w:history="1">
              <w:r>
                <w:rPr>
                  <w:rStyle w:val="a4"/>
                  <w:color w:val="3272C0"/>
                  <w:sz w:val="23"/>
                  <w:szCs w:val="23"/>
                </w:rPr>
                <w:t>федеральным законом</w:t>
              </w:r>
            </w:hyperlink>
            <w:r>
              <w:rPr>
                <w:color w:val="22272F"/>
                <w:sz w:val="23"/>
                <w:szCs w:val="23"/>
              </w:rPr>
              <w:t> о федеральном бюджете.</w:t>
            </w:r>
          </w:p>
          <w:p w:rsidR="00E03334" w:rsidRDefault="00E03334" w:rsidP="0046759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E03334" w:rsidRDefault="00E03334" w:rsidP="0046759C">
            <w:pPr>
              <w:pStyle w:val="s1"/>
              <w:shd w:val="clear" w:color="auto" w:fill="FFFFFF"/>
              <w:jc w:val="both"/>
            </w:pPr>
            <w:hyperlink r:id="rId58" w:anchor="/document/408960095/entry/0" w:history="1">
              <w:r w:rsidRPr="008564A3">
                <w:rPr>
                  <w:color w:val="3272C0"/>
                  <w:u w:val="single"/>
                </w:rPr>
                <w:t>Распоряжение</w:t>
              </w:r>
            </w:hyperlink>
            <w:r w:rsidRPr="008564A3">
              <w:t> Правительства Российской Федерации от 27 апреля 2024 г. N 1059-р</w:t>
            </w:r>
          </w:p>
          <w:p w:rsidR="00E03334" w:rsidRPr="008564A3" w:rsidRDefault="00E03334" w:rsidP="004675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Определены категории граждан, которые смогут оплачивать жилищно-коммунальные услуги без банковской комиссии. Это пенсионеры, инвалиды, ветераны боевых действий, многодетные родители, а также члены семей погибших или умерших инвалидов и участников Великой Отечественной войны и ветеранов боевых действий.</w:t>
            </w:r>
          </w:p>
          <w:p w:rsidR="00E03334" w:rsidRDefault="00E03334" w:rsidP="0046759C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E03334" w:rsidRPr="00416285" w:rsidRDefault="00E03334" w:rsidP="004675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03334" w:rsidTr="0046759C">
        <w:tc>
          <w:tcPr>
            <w:tcW w:w="11199" w:type="dxa"/>
          </w:tcPr>
          <w:p w:rsidR="00E03334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03334" w:rsidRPr="00D52B05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03334" w:rsidRPr="00D52B05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03334" w:rsidRPr="00D52B05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2024</w:t>
            </w:r>
          </w:p>
          <w:p w:rsidR="00E03334" w:rsidRDefault="00E03334" w:rsidP="004675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5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03334" w:rsidRDefault="00E03334" w:rsidP="00E033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E03334" w:rsidRDefault="00E03334" w:rsidP="00E033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E03334" w:rsidRDefault="00E03334" w:rsidP="00E033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E03334" w:rsidRDefault="00E03334">
      <w:bookmarkStart w:id="0" w:name="_GoBack"/>
      <w:bookmarkEnd w:id="0"/>
    </w:p>
    <w:sectPr w:rsidR="00E03334" w:rsidSect="001E0F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6C"/>
    <w:rsid w:val="001545F9"/>
    <w:rsid w:val="00AA416C"/>
    <w:rsid w:val="00D429DE"/>
    <w:rsid w:val="00E0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9AE8"/>
  <w15:chartTrackingRefBased/>
  <w15:docId w15:val="{880A88EB-BE21-467D-8D8C-AD918DA8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A41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A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416C"/>
    <w:rPr>
      <w:color w:val="0000FF"/>
      <w:u w:val="single"/>
    </w:rPr>
  </w:style>
  <w:style w:type="paragraph" w:customStyle="1" w:styleId="s74">
    <w:name w:val="s_74"/>
    <w:basedOn w:val="a"/>
    <w:rsid w:val="00AA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A416C"/>
  </w:style>
  <w:style w:type="paragraph" w:customStyle="1" w:styleId="s1">
    <w:name w:val="s_1"/>
    <w:basedOn w:val="a"/>
    <w:rsid w:val="00AA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www.eseur.ru/kaluga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www.eseur.ru/kaluga/" TargetMode="External"/><Relationship Id="rId42" Type="http://schemas.openxmlformats.org/officeDocument/2006/relationships/hyperlink" Target="https://internet.garant.ru/services/arbitr/link/339018632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services/arbitr/link/74610982.25" TargetMode="External"/><Relationship Id="rId55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services/arbitr/link/339017569" TargetMode="External"/><Relationship Id="rId54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www.eseur.ru/kaluga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www.eseur.ru/kaluga/" TargetMode="External"/><Relationship Id="rId45" Type="http://schemas.openxmlformats.org/officeDocument/2006/relationships/hyperlink" Target="https://internet.garant.ru/services/arbitr/link/339018632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services/arbitr/link/320496727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eseur.ru/kaluga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services/arbitr/link/338627134" TargetMode="External"/><Relationship Id="rId52" Type="http://schemas.openxmlformats.org/officeDocument/2006/relationships/hyperlink" Target="https://www.eseur.ru/kaluga/" TargetMode="External"/><Relationship Id="rId6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services/arbitr/link/338627134" TargetMode="External"/><Relationship Id="rId48" Type="http://schemas.openxmlformats.org/officeDocument/2006/relationships/hyperlink" Target="https://internet.garant.ru/services/arbitr/link/338629229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www.eseur.ru/kaluga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services/arbitr/link/339017569" TargetMode="External"/><Relationship Id="rId5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2350</Words>
  <Characters>13395</Characters>
  <Application>Microsoft Office Word</Application>
  <DocSecurity>0</DocSecurity>
  <Lines>111</Lines>
  <Paragraphs>31</Paragraphs>
  <ScaleCrop>false</ScaleCrop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2024-06-27T07:01:00Z</dcterms:created>
  <dcterms:modified xsi:type="dcterms:W3CDTF">2024-06-27T07:36:00Z</dcterms:modified>
</cp:coreProperties>
</file>