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B11237" w:rsidTr="004A4D93">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10B8807A" wp14:editId="112572BC">
                        <wp:extent cx="1798320" cy="1973580"/>
                        <wp:effectExtent l="0" t="0" r="0" b="7620"/>
                        <wp:docPr id="13" name="Рисунок 13"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64AF426D" wp14:editId="32944F47">
                        <wp:extent cx="1036320" cy="1501140"/>
                        <wp:effectExtent l="0" t="0" r="0" b="3810"/>
                        <wp:docPr id="14" name="Рисунок 14"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32</w:t>
                  </w:r>
                </w:p>
                <w:p w:rsidR="00B11237" w:rsidRPr="00A037AE" w:rsidRDefault="00B11237" w:rsidP="004A4D93">
                  <w:pPr>
                    <w:pStyle w:val="ConsPlusTitle"/>
                    <w:jc w:val="center"/>
                    <w:rPr>
                      <w:color w:val="FF0000"/>
                      <w:sz w:val="32"/>
                      <w:szCs w:val="32"/>
                      <w:lang w:eastAsia="en-US"/>
                    </w:rPr>
                  </w:pPr>
                </w:p>
                <w:p w:rsidR="00B11237" w:rsidRPr="00B11237" w:rsidRDefault="00B11237" w:rsidP="00B11237">
                  <w:pPr>
                    <w:pStyle w:val="s74"/>
                    <w:shd w:val="clear" w:color="auto" w:fill="F0E9D3"/>
                    <w:spacing w:before="240" w:beforeAutospacing="0" w:after="240" w:afterAutospacing="0"/>
                    <w:jc w:val="center"/>
                    <w:rPr>
                      <w:color w:val="464C55"/>
                      <w:sz w:val="28"/>
                      <w:szCs w:val="28"/>
                    </w:rPr>
                  </w:pPr>
                  <w:r>
                    <w:rPr>
                      <w:rStyle w:val="s10"/>
                      <w:b/>
                      <w:bCs/>
                      <w:color w:val="464C55"/>
                      <w:sz w:val="28"/>
                      <w:szCs w:val="28"/>
                    </w:rPr>
                    <w:t>К</w:t>
                  </w:r>
                  <w:r w:rsidRPr="00B11237">
                    <w:rPr>
                      <w:rStyle w:val="s10"/>
                      <w:b/>
                      <w:bCs/>
                      <w:color w:val="464C55"/>
                      <w:sz w:val="28"/>
                      <w:szCs w:val="28"/>
                    </w:rPr>
                    <w:t>ак обжаловать решения ГИТ</w:t>
                  </w: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p>
              </w:tc>
            </w:tr>
          </w:tbl>
          <w:p w:rsidR="00B11237" w:rsidRDefault="00B11237" w:rsidP="004A4D93">
            <w:pPr>
              <w:pStyle w:val="ConsPlusNormal"/>
              <w:jc w:val="both"/>
              <w:rPr>
                <w:sz w:val="28"/>
                <w:szCs w:val="28"/>
                <w:lang w:eastAsia="en-US"/>
              </w:rPr>
            </w:pPr>
          </w:p>
        </w:tc>
      </w:tr>
      <w:tr w:rsidR="00B11237" w:rsidRPr="00502D2A" w:rsidTr="004A4D93">
        <w:tc>
          <w:tcPr>
            <w:tcW w:w="11199" w:type="dxa"/>
          </w:tcPr>
          <w:p w:rsidR="00B11237" w:rsidRPr="00B11237" w:rsidRDefault="00B11237" w:rsidP="00B11237">
            <w:pPr>
              <w:pStyle w:val="s74"/>
              <w:shd w:val="clear" w:color="auto" w:fill="F0E9D3"/>
              <w:spacing w:before="240" w:beforeAutospacing="0" w:after="240" w:afterAutospacing="0"/>
              <w:jc w:val="both"/>
              <w:rPr>
                <w:color w:val="464C55"/>
                <w:sz w:val="28"/>
                <w:szCs w:val="28"/>
              </w:rPr>
            </w:pPr>
            <w:proofErr w:type="spellStart"/>
            <w:r w:rsidRPr="00B11237">
              <w:rPr>
                <w:rStyle w:val="s10"/>
                <w:b/>
                <w:bCs/>
                <w:color w:val="464C55"/>
                <w:sz w:val="28"/>
                <w:szCs w:val="28"/>
              </w:rPr>
              <w:t>Роструд</w:t>
            </w:r>
            <w:proofErr w:type="spellEnd"/>
            <w:r w:rsidRPr="00B11237">
              <w:rPr>
                <w:rStyle w:val="s10"/>
                <w:b/>
                <w:bCs/>
                <w:color w:val="464C55"/>
                <w:sz w:val="28"/>
                <w:szCs w:val="28"/>
              </w:rPr>
              <w:t xml:space="preserve"> напомнил, как обжаловать решения ГИТ</w:t>
            </w:r>
          </w:p>
          <w:p w:rsidR="00B11237" w:rsidRPr="00B11237" w:rsidRDefault="00B11237" w:rsidP="00B11237">
            <w:pPr>
              <w:pStyle w:val="s1"/>
              <w:shd w:val="clear" w:color="auto" w:fill="FFFFFF"/>
              <w:jc w:val="both"/>
              <w:rPr>
                <w:color w:val="22272F"/>
                <w:sz w:val="28"/>
                <w:szCs w:val="28"/>
              </w:rPr>
            </w:pPr>
            <w:hyperlink r:id="rId7" w:anchor="/document/409372932/entry/0" w:history="1">
              <w:r w:rsidRPr="00B11237">
                <w:rPr>
                  <w:rStyle w:val="a4"/>
                  <w:color w:val="3272C0"/>
                  <w:sz w:val="28"/>
                  <w:szCs w:val="28"/>
                </w:rPr>
                <w:t xml:space="preserve">Информация </w:t>
              </w:r>
              <w:proofErr w:type="spellStart"/>
              <w:r w:rsidRPr="00B11237">
                <w:rPr>
                  <w:rStyle w:val="a4"/>
                  <w:color w:val="3272C0"/>
                  <w:sz w:val="28"/>
                  <w:szCs w:val="28"/>
                </w:rPr>
                <w:t>Роструда</w:t>
              </w:r>
              <w:proofErr w:type="spellEnd"/>
              <w:r w:rsidRPr="00B11237">
                <w:rPr>
                  <w:rStyle w:val="a4"/>
                  <w:color w:val="3272C0"/>
                  <w:sz w:val="28"/>
                  <w:szCs w:val="28"/>
                </w:rPr>
                <w:t xml:space="preserve"> от 16 июля 2024 г.</w:t>
              </w:r>
            </w:hyperlink>
          </w:p>
          <w:p w:rsidR="00B11237" w:rsidRPr="00B11237" w:rsidRDefault="00B11237" w:rsidP="00B11237">
            <w:pPr>
              <w:pStyle w:val="s1"/>
              <w:shd w:val="clear" w:color="auto" w:fill="FFFFFF"/>
              <w:jc w:val="both"/>
              <w:rPr>
                <w:color w:val="22272F"/>
                <w:sz w:val="28"/>
                <w:szCs w:val="28"/>
              </w:rPr>
            </w:pPr>
            <w:proofErr w:type="spellStart"/>
            <w:r w:rsidRPr="00B11237">
              <w:rPr>
                <w:color w:val="22272F"/>
                <w:sz w:val="28"/>
                <w:szCs w:val="28"/>
              </w:rPr>
              <w:t>Роструд</w:t>
            </w:r>
            <w:proofErr w:type="spellEnd"/>
            <w:r w:rsidRPr="00B11237">
              <w:rPr>
                <w:color w:val="22272F"/>
                <w:sz w:val="28"/>
                <w:szCs w:val="28"/>
              </w:rPr>
              <w:t xml:space="preserve"> разъяснил порядок обжалования решений, действий (бездействия) ведомства или государственной инспекции труда.</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xml:space="preserve">Если работодатель не согласен с решением о проведении контрольного мероприятия, актом контрольного мероприятия, предписанием об устранении выявленных нарушений или действиями (бездействием) должностных лиц </w:t>
            </w:r>
            <w:proofErr w:type="spellStart"/>
            <w:r w:rsidRPr="00B11237">
              <w:rPr>
                <w:color w:val="22272F"/>
                <w:sz w:val="28"/>
                <w:szCs w:val="28"/>
              </w:rPr>
              <w:t>Роструда</w:t>
            </w:r>
            <w:proofErr w:type="spellEnd"/>
            <w:r w:rsidRPr="00B11237">
              <w:rPr>
                <w:color w:val="22272F"/>
                <w:sz w:val="28"/>
                <w:szCs w:val="28"/>
              </w:rPr>
              <w:t xml:space="preserve"> или ГИТ, ему необходимо воспользоваться сервисом досудебного обжалования "Жалоба на решение контрольных органов" на </w:t>
            </w:r>
            <w:hyperlink r:id="rId8" w:tgtFrame="_blank" w:history="1">
              <w:r w:rsidRPr="00B11237">
                <w:rPr>
                  <w:rStyle w:val="a4"/>
                  <w:color w:val="3272C0"/>
                  <w:sz w:val="28"/>
                  <w:szCs w:val="28"/>
                </w:rPr>
                <w:t>портале</w:t>
              </w:r>
            </w:hyperlink>
            <w:r w:rsidRPr="00B11237">
              <w:rPr>
                <w:color w:val="22272F"/>
                <w:sz w:val="28"/>
                <w:szCs w:val="28"/>
              </w:rPr>
              <w:t> </w:t>
            </w:r>
            <w:proofErr w:type="spellStart"/>
            <w:r w:rsidRPr="00B11237">
              <w:rPr>
                <w:color w:val="22272F"/>
                <w:sz w:val="28"/>
                <w:szCs w:val="28"/>
              </w:rPr>
              <w:t>Госуслуг</w:t>
            </w:r>
            <w:proofErr w:type="spellEnd"/>
            <w:r w:rsidRPr="00B11237">
              <w:rPr>
                <w:color w:val="22272F"/>
                <w:sz w:val="28"/>
                <w:szCs w:val="28"/>
              </w:rPr>
              <w:t>.</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Если работодателя не устроит решение надзорного органа по жалобе, тогда он вправе обратиться в суд.</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xml:space="preserve">В </w:t>
            </w:r>
            <w:proofErr w:type="spellStart"/>
            <w:r w:rsidRPr="00B11237">
              <w:rPr>
                <w:color w:val="22272F"/>
                <w:sz w:val="28"/>
                <w:szCs w:val="28"/>
              </w:rPr>
              <w:t>Роструде</w:t>
            </w:r>
            <w:proofErr w:type="spellEnd"/>
            <w:r w:rsidRPr="00B11237">
              <w:rPr>
                <w:color w:val="22272F"/>
                <w:sz w:val="28"/>
                <w:szCs w:val="28"/>
              </w:rPr>
              <w:t xml:space="preserve"> также сообщают, что предметом досудебного обжалования не являются:</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акты расследования несчастных случаев;</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заключение ГИТ по результатам расследования несчастного случая;</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предписания, выдаваемые по результатам расследования несчастного случая;</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постановления по делам об административных правонарушениях.</w:t>
            </w:r>
          </w:p>
          <w:p w:rsidR="00B11237" w:rsidRPr="00B11237" w:rsidRDefault="00B11237" w:rsidP="00B11237">
            <w:pPr>
              <w:pStyle w:val="s1"/>
              <w:shd w:val="clear" w:color="auto" w:fill="FFFFFF"/>
              <w:jc w:val="both"/>
              <w:rPr>
                <w:color w:val="22272F"/>
                <w:sz w:val="28"/>
                <w:szCs w:val="28"/>
              </w:rPr>
            </w:pPr>
            <w:r w:rsidRPr="00B11237">
              <w:rPr>
                <w:color w:val="22272F"/>
                <w:sz w:val="28"/>
                <w:szCs w:val="28"/>
              </w:rPr>
              <w:t xml:space="preserve">В данном случае жалобу можно направить в ТО </w:t>
            </w:r>
            <w:proofErr w:type="spellStart"/>
            <w:r w:rsidRPr="00B11237">
              <w:rPr>
                <w:color w:val="22272F"/>
                <w:sz w:val="28"/>
                <w:szCs w:val="28"/>
              </w:rPr>
              <w:t>Роструда</w:t>
            </w:r>
            <w:proofErr w:type="spellEnd"/>
            <w:r w:rsidRPr="00B11237">
              <w:rPr>
                <w:color w:val="22272F"/>
                <w:sz w:val="28"/>
                <w:szCs w:val="28"/>
              </w:rPr>
              <w:t xml:space="preserve">, в </w:t>
            </w:r>
            <w:proofErr w:type="spellStart"/>
            <w:r w:rsidRPr="00B11237">
              <w:rPr>
                <w:color w:val="22272F"/>
                <w:sz w:val="28"/>
                <w:szCs w:val="28"/>
              </w:rPr>
              <w:t>Роструд</w:t>
            </w:r>
            <w:proofErr w:type="spellEnd"/>
            <w:r w:rsidRPr="00B11237">
              <w:rPr>
                <w:color w:val="22272F"/>
                <w:sz w:val="28"/>
                <w:szCs w:val="28"/>
              </w:rPr>
              <w:t>, в суд.</w:t>
            </w:r>
          </w:p>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4A4D93">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9" w:history="1">
              <w:r w:rsidRPr="00D52B05">
                <w:rPr>
                  <w:rStyle w:val="a4"/>
                  <w:color w:val="FF0000"/>
                  <w:sz w:val="16"/>
                  <w:szCs w:val="16"/>
                </w:rPr>
                <w:t>https://www.eseur.ru/kaluga/</w:t>
              </w:r>
            </w:hyperlink>
          </w:p>
        </w:tc>
      </w:tr>
    </w:tbl>
    <w:p w:rsidR="00B11237" w:rsidRDefault="00B11237" w:rsidP="00B11237"/>
    <w:p w:rsidR="00B11237" w:rsidRDefault="00B11237" w:rsidP="00B11237"/>
    <w:tbl>
      <w:tblPr>
        <w:tblStyle w:val="a3"/>
        <w:tblW w:w="11199" w:type="dxa"/>
        <w:tblInd w:w="-1139" w:type="dxa"/>
        <w:tblLayout w:type="fixed"/>
        <w:tblLook w:val="04A0" w:firstRow="1" w:lastRow="0" w:firstColumn="1" w:lastColumn="0" w:noHBand="0" w:noVBand="1"/>
      </w:tblPr>
      <w:tblGrid>
        <w:gridCol w:w="11199"/>
      </w:tblGrid>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2" name="Рисунок 2"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3" name="Рисунок 3"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10"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33</w:t>
                  </w:r>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r w:rsidRPr="00B11237">
                    <w:rPr>
                      <w:b/>
                      <w:bCs/>
                      <w:kern w:val="36"/>
                      <w:sz w:val="28"/>
                      <w:szCs w:val="28"/>
                    </w:rPr>
                    <w:t>Отказ идти в отпуск по графику</w:t>
                  </w: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Default="00B11237" w:rsidP="004A4D93">
            <w:pPr>
              <w:autoSpaceDE w:val="0"/>
              <w:autoSpaceDN w:val="0"/>
              <w:adjustRightInd w:val="0"/>
              <w:spacing w:line="276" w:lineRule="auto"/>
              <w:jc w:val="both"/>
              <w:rPr>
                <w:rFonts w:ascii="Calibri" w:hAnsi="Calibri" w:cs="Calibri"/>
                <w:color w:val="000000"/>
                <w:sz w:val="20"/>
                <w:szCs w:val="20"/>
              </w:rPr>
            </w:pPr>
          </w:p>
          <w:p w:rsidR="00B11237" w:rsidRDefault="00B11237" w:rsidP="00B11237">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Минтруд разъяснил, можно ли наказать работника, который отказывается идти в отпуск по графику</w:t>
            </w:r>
          </w:p>
          <w:p w:rsidR="00B11237" w:rsidRDefault="00B11237" w:rsidP="00B11237">
            <w:pPr>
              <w:pStyle w:val="s1"/>
              <w:jc w:val="both"/>
              <w:rPr>
                <w:color w:val="22272F"/>
                <w:sz w:val="23"/>
                <w:szCs w:val="23"/>
              </w:rPr>
            </w:pPr>
            <w:hyperlink r:id="rId11" w:anchor="/document/409371864/entry/0" w:history="1">
              <w:r>
                <w:rPr>
                  <w:rStyle w:val="a4"/>
                  <w:color w:val="3272C0"/>
                  <w:sz w:val="23"/>
                  <w:szCs w:val="23"/>
                </w:rPr>
                <w:t>Письмо Минтруда России от 15 июля 2024 г. N 14-6/ООГ-4291</w:t>
              </w:r>
            </w:hyperlink>
          </w:p>
          <w:p w:rsidR="00B11237" w:rsidRDefault="00B11237" w:rsidP="00B11237">
            <w:pPr>
              <w:pStyle w:val="s1"/>
              <w:jc w:val="both"/>
              <w:rPr>
                <w:color w:val="22272F"/>
                <w:sz w:val="23"/>
                <w:szCs w:val="23"/>
              </w:rPr>
            </w:pPr>
            <w:r>
              <w:rPr>
                <w:color w:val="22272F"/>
                <w:sz w:val="23"/>
                <w:szCs w:val="23"/>
              </w:rPr>
              <w:t>Минтруд ответил на вопрос о том, можно ли привлечь к дисциплинарной ответственности сотрудника, который отказывается идти в отпуск по графику.</w:t>
            </w:r>
          </w:p>
          <w:p w:rsidR="00B11237" w:rsidRDefault="00B11237" w:rsidP="00B11237">
            <w:pPr>
              <w:pStyle w:val="s1"/>
              <w:jc w:val="both"/>
              <w:rPr>
                <w:color w:val="22272F"/>
                <w:sz w:val="23"/>
                <w:szCs w:val="23"/>
              </w:rPr>
            </w:pPr>
            <w:r>
              <w:rPr>
                <w:color w:val="22272F"/>
                <w:sz w:val="23"/>
                <w:szCs w:val="23"/>
              </w:rPr>
              <w:t>В письме чиновники привели понятие дисциплинарного проступка (неисполнение или ненадлежащее исполнение работником по его вине возложенных на него трудовых обязанностей) и указали на то, что ТК РФ не содержит запрета на внесение изменений в график отпусков.</w:t>
            </w:r>
          </w:p>
          <w:p w:rsidR="00B11237" w:rsidRDefault="00B11237" w:rsidP="00B11237">
            <w:pPr>
              <w:pStyle w:val="s1"/>
              <w:jc w:val="both"/>
              <w:rPr>
                <w:color w:val="22272F"/>
                <w:sz w:val="23"/>
                <w:szCs w:val="23"/>
              </w:rPr>
            </w:pPr>
            <w:r>
              <w:rPr>
                <w:color w:val="22272F"/>
                <w:sz w:val="23"/>
                <w:szCs w:val="23"/>
              </w:rPr>
              <w:t>По мнению специалистов ведомства, работодатель обладает достаточными экономическими и организационно-управленческими возможностями для самостоятельного разрешения интересов во взаимоотношениях с работниками. Таким образом, данный вопрос необходимо урегулировать непосредственно с работником.</w:t>
            </w:r>
          </w:p>
          <w:p w:rsidR="00B11237" w:rsidRDefault="00B11237" w:rsidP="00B11237">
            <w:pPr>
              <w:pStyle w:val="s1"/>
              <w:jc w:val="both"/>
              <w:rPr>
                <w:color w:val="22272F"/>
                <w:sz w:val="23"/>
                <w:szCs w:val="23"/>
              </w:rPr>
            </w:pPr>
            <w:r>
              <w:rPr>
                <w:color w:val="22272F"/>
                <w:sz w:val="23"/>
                <w:szCs w:val="23"/>
              </w:rPr>
              <w:t>Отметим, в </w:t>
            </w:r>
            <w:hyperlink r:id="rId12" w:anchor="/document/12134976/entry/35" w:history="1">
              <w:r>
                <w:rPr>
                  <w:rStyle w:val="a4"/>
                  <w:color w:val="3272C0"/>
                  <w:sz w:val="23"/>
                  <w:szCs w:val="23"/>
                </w:rPr>
                <w:t>п. 35</w:t>
              </w:r>
            </w:hyperlink>
            <w:r>
              <w:rPr>
                <w:color w:val="22272F"/>
                <w:sz w:val="23"/>
                <w:szCs w:val="23"/>
              </w:rPr>
              <w:t> постановления Пленума ВС РФ от 17.03.2004 N 2 разъяснено, что неисполнение или ненадлежащее исполнение по вине работника возложенных на него трудовых обязанностей может заключаться в нарушении требований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 В силу </w:t>
            </w:r>
            <w:hyperlink r:id="rId13" w:anchor="/document/12125268/entry/12302" w:history="1">
              <w:r>
                <w:rPr>
                  <w:rStyle w:val="a4"/>
                  <w:color w:val="3272C0"/>
                  <w:sz w:val="23"/>
                  <w:szCs w:val="23"/>
                </w:rPr>
                <w:t>части второй ст. 123</w:t>
              </w:r>
            </w:hyperlink>
            <w:r>
              <w:rPr>
                <w:color w:val="22272F"/>
                <w:sz w:val="23"/>
                <w:szCs w:val="23"/>
              </w:rPr>
              <w:t> ТК РФ график отпусков обязателен как для работодателя, так и для работника.</w:t>
            </w:r>
          </w:p>
          <w:p w:rsidR="00B11237" w:rsidRDefault="00B11237" w:rsidP="00B11237">
            <w:pPr>
              <w:pStyle w:val="s1"/>
              <w:jc w:val="both"/>
              <w:rPr>
                <w:color w:val="22272F"/>
                <w:sz w:val="23"/>
                <w:szCs w:val="23"/>
              </w:rPr>
            </w:pPr>
            <w:r>
              <w:rPr>
                <w:color w:val="22272F"/>
                <w:sz w:val="23"/>
                <w:szCs w:val="23"/>
              </w:rPr>
              <w:t>На портале "</w:t>
            </w:r>
            <w:proofErr w:type="spellStart"/>
            <w:r>
              <w:rPr>
                <w:color w:val="22272F"/>
                <w:sz w:val="23"/>
                <w:szCs w:val="23"/>
              </w:rPr>
              <w:t>Онлайнинспекция.РФ</w:t>
            </w:r>
            <w:proofErr w:type="spellEnd"/>
            <w:r>
              <w:rPr>
                <w:color w:val="22272F"/>
                <w:sz w:val="23"/>
                <w:szCs w:val="23"/>
              </w:rPr>
              <w:t>" можно встретить </w:t>
            </w:r>
            <w:hyperlink r:id="rId14" w:anchor="/document/77558751/entry/0" w:history="1">
              <w:r>
                <w:rPr>
                  <w:rStyle w:val="a4"/>
                  <w:color w:val="3272C0"/>
                  <w:sz w:val="23"/>
                  <w:szCs w:val="23"/>
                </w:rPr>
                <w:t>разъяснения</w:t>
              </w:r>
            </w:hyperlink>
            <w:r>
              <w:rPr>
                <w:color w:val="22272F"/>
                <w:sz w:val="23"/>
                <w:szCs w:val="23"/>
              </w:rPr>
              <w:t> </w:t>
            </w:r>
            <w:proofErr w:type="spellStart"/>
            <w:r>
              <w:rPr>
                <w:color w:val="22272F"/>
                <w:sz w:val="23"/>
                <w:szCs w:val="23"/>
              </w:rPr>
              <w:t>Роструда</w:t>
            </w:r>
            <w:proofErr w:type="spellEnd"/>
            <w:r>
              <w:rPr>
                <w:color w:val="22272F"/>
                <w:sz w:val="23"/>
                <w:szCs w:val="23"/>
              </w:rPr>
              <w:t xml:space="preserve"> о том, что за отказ от использования отпуска в соответствии с графиком работник может быть привлечен к дисциплинарной ответственности.</w:t>
            </w:r>
          </w:p>
          <w:p w:rsidR="00B11237" w:rsidRDefault="00B11237" w:rsidP="00B11237">
            <w:pPr>
              <w:pStyle w:val="s1"/>
              <w:jc w:val="both"/>
              <w:rPr>
                <w:color w:val="22272F"/>
                <w:sz w:val="23"/>
                <w:szCs w:val="23"/>
              </w:rPr>
            </w:pPr>
            <w:r>
              <w:rPr>
                <w:color w:val="22272F"/>
                <w:sz w:val="23"/>
                <w:szCs w:val="23"/>
              </w:rPr>
              <w:t>Однако встречается и другая </w:t>
            </w:r>
            <w:hyperlink r:id="rId15" w:anchor="/document/57286709/entry/0" w:history="1">
              <w:r>
                <w:rPr>
                  <w:rStyle w:val="a4"/>
                  <w:color w:val="3272C0"/>
                  <w:sz w:val="23"/>
                  <w:szCs w:val="23"/>
                </w:rPr>
                <w:t>точка зрения</w:t>
              </w:r>
            </w:hyperlink>
            <w:r>
              <w:rPr>
                <w:color w:val="22272F"/>
                <w:sz w:val="23"/>
                <w:szCs w:val="23"/>
              </w:rPr>
              <w:t> о том, что применение мер дисциплинарной ответственности к работнику за отказ от использования отпуска трудовым законодательством не предусмотрено, но работник не может быть допущен к работе в дни ежегодного отпуска, оформленного надлежащим образом.</w:t>
            </w:r>
          </w:p>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6" w:history="1">
              <w:r w:rsidRPr="00D52B05">
                <w:rPr>
                  <w:rStyle w:val="a4"/>
                  <w:color w:val="FF0000"/>
                  <w:sz w:val="16"/>
                  <w:szCs w:val="16"/>
                </w:rPr>
                <w:t>https://www.eseur.ru/kaluga/</w:t>
              </w:r>
            </w:hyperlink>
          </w:p>
        </w:tc>
      </w:tr>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17"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34</w:t>
                  </w:r>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r>
                    <w:rPr>
                      <w:b/>
                      <w:bCs/>
                      <w:color w:val="ED7D31" w:themeColor="accent2"/>
                      <w:kern w:val="36"/>
                      <w:sz w:val="28"/>
                      <w:szCs w:val="28"/>
                    </w:rPr>
                    <w:t>Судебная практика: работа в жару</w:t>
                  </w: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Default="00B11237" w:rsidP="00B11237">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Суд признал незаконным замечание работнику, который ушел до окончания рабочей смены в жару</w:t>
            </w:r>
          </w:p>
          <w:p w:rsidR="00B11237" w:rsidRDefault="00B11237" w:rsidP="00B11237">
            <w:pPr>
              <w:pStyle w:val="s1"/>
              <w:shd w:val="clear" w:color="auto" w:fill="FFFFFF"/>
              <w:jc w:val="both"/>
              <w:rPr>
                <w:color w:val="22272F"/>
                <w:sz w:val="23"/>
                <w:szCs w:val="23"/>
              </w:rPr>
            </w:pPr>
            <w:hyperlink r:id="rId18" w:tgtFrame="_blank" w:history="1">
              <w:r>
                <w:rPr>
                  <w:rStyle w:val="a4"/>
                  <w:color w:val="3272C0"/>
                  <w:sz w:val="23"/>
                  <w:szCs w:val="23"/>
                </w:rPr>
                <w:t>Определение Челябинского облсуда от 13.02.2024 N 11-2024/2024</w:t>
              </w:r>
            </w:hyperlink>
          </w:p>
          <w:p w:rsidR="00B11237" w:rsidRDefault="00B11237" w:rsidP="00B11237">
            <w:pPr>
              <w:pStyle w:val="s1"/>
              <w:shd w:val="clear" w:color="auto" w:fill="FFFFFF"/>
              <w:jc w:val="both"/>
              <w:rPr>
                <w:color w:val="22272F"/>
                <w:sz w:val="23"/>
                <w:szCs w:val="23"/>
              </w:rPr>
            </w:pPr>
            <w:r>
              <w:rPr>
                <w:color w:val="22272F"/>
                <w:sz w:val="23"/>
                <w:szCs w:val="23"/>
              </w:rPr>
              <w:t>Сотруднику объявили замечание и не выплатили месячную премию. Основанием для дисциплинарного взыскания и меры материального воздействия послужил уход с рабочего места до окончания рабочей смены.</w:t>
            </w:r>
          </w:p>
          <w:p w:rsidR="00B11237" w:rsidRDefault="00B11237" w:rsidP="00B11237">
            <w:pPr>
              <w:pStyle w:val="s1"/>
              <w:shd w:val="clear" w:color="auto" w:fill="FFFFFF"/>
              <w:jc w:val="both"/>
              <w:rPr>
                <w:color w:val="22272F"/>
                <w:sz w:val="23"/>
                <w:szCs w:val="23"/>
              </w:rPr>
            </w:pPr>
            <w:r>
              <w:rPr>
                <w:color w:val="22272F"/>
                <w:sz w:val="23"/>
                <w:szCs w:val="23"/>
              </w:rPr>
              <w:t>Работник успешно оспорил действия работодателя в суде. В обоснование иска он указал, что температура на его рабочем месте была выше допустимых величин и достигала 31°С, о чем он предупредил своего бригадира. В адрес генерального директора от первичной профсоюзной организации было направлено обращение с предложением проводить контрольные замеры микроклиматических показателей на рабочих местах совместно со службой охраны труда предприятия, на которое работодатель не отреагировал. Замер температуры воздуха первичная профсоюзная организация произвела самостоятельно. Со ссылкой на требования СанПиН </w:t>
            </w:r>
            <w:hyperlink r:id="rId19" w:anchor="/document/400274954/entry/0" w:history="1">
              <w:r>
                <w:rPr>
                  <w:rStyle w:val="a4"/>
                  <w:color w:val="3272C0"/>
                  <w:sz w:val="23"/>
                  <w:szCs w:val="23"/>
                </w:rPr>
                <w:t>1.2.3.685-21</w:t>
              </w:r>
            </w:hyperlink>
            <w:r>
              <w:rPr>
                <w:color w:val="22272F"/>
                <w:sz w:val="23"/>
                <w:szCs w:val="23"/>
              </w:rPr>
              <w:t> работник указал, что работодатель пренебрег своими обязанностями, установленными </w:t>
            </w:r>
            <w:hyperlink r:id="rId20" w:anchor="/document/12125268/entry/214" w:history="1">
              <w:r>
                <w:rPr>
                  <w:rStyle w:val="a4"/>
                  <w:color w:val="3272C0"/>
                  <w:sz w:val="23"/>
                  <w:szCs w:val="23"/>
                </w:rPr>
                <w:t>ст. 214</w:t>
              </w:r>
            </w:hyperlink>
            <w:r>
              <w:rPr>
                <w:color w:val="22272F"/>
                <w:sz w:val="23"/>
                <w:szCs w:val="23"/>
              </w:rPr>
              <w:t> ТК РФ, и считал, что в силу </w:t>
            </w:r>
            <w:hyperlink r:id="rId21" w:anchor="/document/12125268/entry/216014" w:history="1">
              <w:r>
                <w:rPr>
                  <w:rStyle w:val="a4"/>
                  <w:color w:val="3272C0"/>
                  <w:sz w:val="23"/>
                  <w:szCs w:val="23"/>
                </w:rPr>
                <w:t>ст. 216</w:t>
              </w:r>
            </w:hyperlink>
            <w:r>
              <w:rPr>
                <w:color w:val="22272F"/>
                <w:sz w:val="23"/>
                <w:szCs w:val="23"/>
              </w:rPr>
              <w:t> ТК РФ он имеет право на отказ от выполнения работ в случае возникновения опасности для его жизни и здоровья вследствие нарушения требований охраны труда до их устранения.</w:t>
            </w:r>
          </w:p>
          <w:p w:rsidR="00B11237" w:rsidRDefault="00B11237" w:rsidP="00B11237">
            <w:pPr>
              <w:pStyle w:val="s1"/>
              <w:shd w:val="clear" w:color="auto" w:fill="FFFFFF"/>
              <w:jc w:val="both"/>
              <w:rPr>
                <w:color w:val="22272F"/>
                <w:sz w:val="23"/>
                <w:szCs w:val="23"/>
              </w:rPr>
            </w:pPr>
            <w:r>
              <w:rPr>
                <w:color w:val="22272F"/>
                <w:sz w:val="23"/>
                <w:szCs w:val="23"/>
              </w:rPr>
              <w:t>Суд работника поддержал и признал применение дисциплинарного взыскания и меры материального воздействия незаконным, поскольку уход истца с рабочего места был обоснован. О своем уходе работник поставил в известность своего непосредственного начальника, сообщив о результатах измерений температурного режима в цехе, при этом при осуществлении замеров температуры воздуха полномочные лица от работодателя не присутствовали, хотя имели такую возможность.</w:t>
            </w:r>
          </w:p>
          <w:p w:rsidR="00B11237" w:rsidRDefault="00B11237" w:rsidP="00B11237">
            <w:pPr>
              <w:pStyle w:val="s1"/>
              <w:shd w:val="clear" w:color="auto" w:fill="FFFFFF"/>
              <w:jc w:val="both"/>
              <w:rPr>
                <w:color w:val="22272F"/>
                <w:sz w:val="23"/>
                <w:szCs w:val="23"/>
              </w:rPr>
            </w:pPr>
            <w:r>
              <w:rPr>
                <w:color w:val="22272F"/>
                <w:sz w:val="23"/>
                <w:szCs w:val="23"/>
              </w:rPr>
              <w:t>Доводы работодателя о том, что замеры температуры не могут быть приняты во внимание, поскольку согласно </w:t>
            </w:r>
            <w:hyperlink r:id="rId22" w:anchor="/document/2321317/entry/27" w:history="1">
              <w:r>
                <w:rPr>
                  <w:rStyle w:val="a4"/>
                  <w:color w:val="3272C0"/>
                  <w:sz w:val="23"/>
                  <w:szCs w:val="23"/>
                </w:rPr>
                <w:t>ГОСТ 12.1.005-88</w:t>
              </w:r>
            </w:hyperlink>
            <w:r>
              <w:rPr>
                <w:color w:val="22272F"/>
                <w:sz w:val="23"/>
                <w:szCs w:val="23"/>
              </w:rPr>
              <w:t> температуру и относительную влажность воздуха следует измерять специальными аспирационными психрометрами (типа ПБУ-1М), суточными и недельными термографами и гигрографами, суд отклонил и напомнил, что именно на работодателе лежит обязанность по созданию безопасных условий труда (</w:t>
            </w:r>
            <w:hyperlink r:id="rId23" w:anchor="/document/12125268/entry/214" w:history="1">
              <w:r>
                <w:rPr>
                  <w:rStyle w:val="a4"/>
                  <w:color w:val="3272C0"/>
                  <w:sz w:val="23"/>
                  <w:szCs w:val="23"/>
                </w:rPr>
                <w:t>ст. 214</w:t>
              </w:r>
            </w:hyperlink>
            <w:r>
              <w:rPr>
                <w:color w:val="22272F"/>
                <w:sz w:val="23"/>
                <w:szCs w:val="23"/>
              </w:rPr>
              <w:t> ТК РФ). Условия труда - это совокупность факторов производственной среды и трудового процесса, оказывающих влияние на работоспособность и здоровье работника (</w:t>
            </w:r>
            <w:hyperlink r:id="rId24" w:anchor="/document/12125268/entry/2092" w:history="1">
              <w:r>
                <w:rPr>
                  <w:rStyle w:val="a4"/>
                  <w:color w:val="3272C0"/>
                  <w:sz w:val="23"/>
                  <w:szCs w:val="23"/>
                </w:rPr>
                <w:t>ст. 209</w:t>
              </w:r>
            </w:hyperlink>
            <w:r>
              <w:rPr>
                <w:color w:val="22272F"/>
                <w:sz w:val="23"/>
                <w:szCs w:val="23"/>
              </w:rPr>
              <w:t> ТК РФ). К таким факторам, безусловно, относится и температура воздуха в рабочих помещениях.</w:t>
            </w:r>
          </w:p>
          <w:p w:rsidR="00B11237" w:rsidRDefault="00B11237" w:rsidP="00B11237">
            <w:pPr>
              <w:pStyle w:val="s1"/>
              <w:shd w:val="clear" w:color="auto" w:fill="FFFFFF"/>
              <w:jc w:val="both"/>
              <w:rPr>
                <w:color w:val="22272F"/>
                <w:sz w:val="23"/>
                <w:szCs w:val="23"/>
              </w:rPr>
            </w:pPr>
            <w:r>
              <w:rPr>
                <w:color w:val="22272F"/>
                <w:sz w:val="23"/>
                <w:szCs w:val="23"/>
              </w:rPr>
              <w:t>Суд также не принял доводы работодателя о том, что:</w:t>
            </w:r>
          </w:p>
          <w:p w:rsidR="00B11237" w:rsidRDefault="00B11237" w:rsidP="00B11237">
            <w:pPr>
              <w:pStyle w:val="s1"/>
              <w:shd w:val="clear" w:color="auto" w:fill="FFFFFF"/>
              <w:jc w:val="both"/>
              <w:rPr>
                <w:color w:val="22272F"/>
                <w:sz w:val="23"/>
                <w:szCs w:val="23"/>
              </w:rPr>
            </w:pPr>
            <w:r>
              <w:rPr>
                <w:color w:val="22272F"/>
                <w:sz w:val="23"/>
                <w:szCs w:val="23"/>
              </w:rPr>
              <w:t>- работник не предъявлял жалоб к состоянию своего здоровья;</w:t>
            </w:r>
          </w:p>
          <w:p w:rsidR="00B11237" w:rsidRDefault="00B11237" w:rsidP="00B11237">
            <w:pPr>
              <w:pStyle w:val="s1"/>
              <w:shd w:val="clear" w:color="auto" w:fill="FFFFFF"/>
              <w:jc w:val="both"/>
              <w:rPr>
                <w:color w:val="22272F"/>
                <w:sz w:val="23"/>
                <w:szCs w:val="23"/>
              </w:rPr>
            </w:pPr>
            <w:r>
              <w:rPr>
                <w:color w:val="22272F"/>
                <w:sz w:val="23"/>
                <w:szCs w:val="23"/>
              </w:rPr>
              <w:t>- признаки ухудшения состояния его здоровья отсутствовали;</w:t>
            </w:r>
          </w:p>
          <w:p w:rsidR="00B11237" w:rsidRDefault="00B11237" w:rsidP="00B11237">
            <w:pPr>
              <w:pStyle w:val="s1"/>
              <w:shd w:val="clear" w:color="auto" w:fill="FFFFFF"/>
              <w:jc w:val="both"/>
              <w:rPr>
                <w:color w:val="22272F"/>
                <w:sz w:val="23"/>
                <w:szCs w:val="23"/>
              </w:rPr>
            </w:pPr>
            <w:r>
              <w:rPr>
                <w:color w:val="22272F"/>
                <w:sz w:val="23"/>
                <w:szCs w:val="23"/>
              </w:rPr>
              <w:t>- непосредственной угрозы жизни и здоровью работника не было;</w:t>
            </w:r>
          </w:p>
          <w:p w:rsidR="00B11237" w:rsidRDefault="00B11237" w:rsidP="00B11237">
            <w:pPr>
              <w:pStyle w:val="s1"/>
              <w:shd w:val="clear" w:color="auto" w:fill="FFFFFF"/>
              <w:jc w:val="both"/>
              <w:rPr>
                <w:color w:val="22272F"/>
                <w:sz w:val="23"/>
                <w:szCs w:val="23"/>
              </w:rPr>
            </w:pPr>
            <w:r>
              <w:rPr>
                <w:color w:val="22272F"/>
                <w:sz w:val="23"/>
                <w:szCs w:val="23"/>
              </w:rPr>
              <w:t>- все работники цеха отработали смену в полном объеме.</w:t>
            </w:r>
          </w:p>
          <w:p w:rsidR="00B11237" w:rsidRDefault="00B11237" w:rsidP="00B11237">
            <w:pPr>
              <w:pStyle w:val="s1"/>
              <w:shd w:val="clear" w:color="auto" w:fill="FFFFFF"/>
              <w:jc w:val="both"/>
              <w:rPr>
                <w:color w:val="22272F"/>
                <w:sz w:val="23"/>
                <w:szCs w:val="23"/>
              </w:rPr>
            </w:pPr>
            <w:r>
              <w:rPr>
                <w:color w:val="22272F"/>
                <w:sz w:val="23"/>
                <w:szCs w:val="23"/>
              </w:rPr>
              <w:lastRenderedPageBreak/>
              <w:t>Напомним, один из депутатов Госдумы </w:t>
            </w:r>
            <w:hyperlink r:id="rId25" w:anchor="/document/57401942/entry/202406041" w:history="1">
              <w:r>
                <w:rPr>
                  <w:rStyle w:val="a4"/>
                  <w:color w:val="3272C0"/>
                  <w:sz w:val="23"/>
                  <w:szCs w:val="23"/>
                </w:rPr>
                <w:t>предлагает</w:t>
              </w:r>
            </w:hyperlink>
            <w:r>
              <w:rPr>
                <w:color w:val="22272F"/>
                <w:sz w:val="23"/>
                <w:szCs w:val="23"/>
              </w:rPr>
              <w:t> закрепить в ТК РФ обязанность работодателей уменьшать продолжительность рабочего дня при достижении определенных температур воздуха (</w:t>
            </w:r>
            <w:hyperlink r:id="rId26" w:anchor="/document/76863809/entry/0" w:history="1">
              <w:r>
                <w:rPr>
                  <w:rStyle w:val="a4"/>
                  <w:color w:val="3272C0"/>
                  <w:sz w:val="23"/>
                  <w:szCs w:val="23"/>
                </w:rPr>
                <w:t>проект</w:t>
              </w:r>
            </w:hyperlink>
            <w:r>
              <w:rPr>
                <w:color w:val="22272F"/>
                <w:sz w:val="23"/>
                <w:szCs w:val="23"/>
              </w:rPr>
              <w:t> федерального закона N 638001-8). Соблюдение санитарных правил и норм СанПиН </w:t>
            </w:r>
            <w:hyperlink r:id="rId27" w:anchor="/document/400274954/entry/1029" w:history="1">
              <w:r>
                <w:rPr>
                  <w:rStyle w:val="a4"/>
                  <w:color w:val="3272C0"/>
                  <w:sz w:val="23"/>
                  <w:szCs w:val="23"/>
                </w:rPr>
                <w:t>1.2.3685-21 </w:t>
              </w:r>
            </w:hyperlink>
            <w:r>
              <w:rPr>
                <w:color w:val="22272F"/>
                <w:sz w:val="23"/>
                <w:szCs w:val="23"/>
              </w:rPr>
              <w:t>(устанавливающих, в частности, предельные температурные </w:t>
            </w:r>
            <w:hyperlink r:id="rId28" w:anchor="/document/400274954/entry/1029" w:history="1">
              <w:r>
                <w:rPr>
                  <w:rStyle w:val="a4"/>
                  <w:color w:val="3272C0"/>
                  <w:sz w:val="23"/>
                  <w:szCs w:val="23"/>
                </w:rPr>
                <w:t>значения</w:t>
              </w:r>
            </w:hyperlink>
            <w:r>
              <w:rPr>
                <w:color w:val="22272F"/>
                <w:sz w:val="23"/>
                <w:szCs w:val="23"/>
              </w:rPr>
              <w:t xml:space="preserve"> в рабочем помещении) является обязательным для </w:t>
            </w:r>
            <w:proofErr w:type="spellStart"/>
            <w:r>
              <w:rPr>
                <w:color w:val="22272F"/>
                <w:sz w:val="23"/>
                <w:szCs w:val="23"/>
              </w:rPr>
              <w:t>юрлиц</w:t>
            </w:r>
            <w:proofErr w:type="spellEnd"/>
            <w:r>
              <w:rPr>
                <w:color w:val="22272F"/>
                <w:sz w:val="23"/>
                <w:szCs w:val="23"/>
              </w:rPr>
              <w:t>, ИП и граждан (</w:t>
            </w:r>
            <w:hyperlink r:id="rId29" w:anchor="/document/12115118/entry/3903" w:history="1">
              <w:r>
                <w:rPr>
                  <w:rStyle w:val="a4"/>
                  <w:color w:val="3272C0"/>
                  <w:sz w:val="23"/>
                  <w:szCs w:val="23"/>
                </w:rPr>
                <w:t>п. 3 ст. 39</w:t>
              </w:r>
            </w:hyperlink>
            <w:r>
              <w:rPr>
                <w:color w:val="22272F"/>
                <w:sz w:val="23"/>
                <w:szCs w:val="23"/>
              </w:rPr>
              <w:t> Закона о санитарно-эпидемиологическом благополучии населения). Ответственность за несоблюдение санитарных правил и гигиенических нормативов предусмотрена </w:t>
            </w:r>
            <w:hyperlink r:id="rId30" w:anchor="/document/12125267/entry/63" w:history="1">
              <w:r>
                <w:rPr>
                  <w:rStyle w:val="a4"/>
                  <w:color w:val="3272C0"/>
                  <w:sz w:val="23"/>
                  <w:szCs w:val="23"/>
                </w:rPr>
                <w:t>статьей 6.3</w:t>
              </w:r>
            </w:hyperlink>
            <w:r>
              <w:rPr>
                <w:color w:val="22272F"/>
                <w:sz w:val="23"/>
                <w:szCs w:val="23"/>
              </w:rPr>
              <w:t> КоАП РФ. Однако обязанность работодателя сократить рабочий день или смену в нормативных актах не зафиксирована. Конкретные рекомендации, что делать при превышении указанных в СанПиН значениях, содержатся в </w:t>
            </w:r>
            <w:hyperlink r:id="rId31" w:anchor="/document/409098276/entry/0" w:history="1">
              <w:r>
                <w:rPr>
                  <w:rStyle w:val="a4"/>
                  <w:color w:val="3272C0"/>
                  <w:sz w:val="23"/>
                  <w:szCs w:val="23"/>
                </w:rPr>
                <w:t>информации</w:t>
              </w:r>
            </w:hyperlink>
            <w:r>
              <w:rPr>
                <w:color w:val="22272F"/>
                <w:sz w:val="23"/>
                <w:szCs w:val="23"/>
              </w:rPr>
              <w:t> </w:t>
            </w:r>
            <w:proofErr w:type="spellStart"/>
            <w:r>
              <w:rPr>
                <w:color w:val="22272F"/>
                <w:sz w:val="23"/>
                <w:szCs w:val="23"/>
              </w:rPr>
              <w:t>Роспотребнадзора</w:t>
            </w:r>
            <w:proofErr w:type="spellEnd"/>
            <w:r>
              <w:rPr>
                <w:color w:val="22272F"/>
                <w:sz w:val="23"/>
                <w:szCs w:val="23"/>
              </w:rPr>
              <w:t>, тем не менее документ носит рекомендательный характер.</w:t>
            </w:r>
          </w:p>
          <w:p w:rsidR="00B11237" w:rsidRDefault="00B11237" w:rsidP="00B11237">
            <w:pPr>
              <w:pStyle w:val="s1"/>
              <w:shd w:val="clear" w:color="auto" w:fill="FFFFFF"/>
              <w:jc w:val="both"/>
              <w:rPr>
                <w:color w:val="22272F"/>
                <w:sz w:val="23"/>
                <w:szCs w:val="23"/>
              </w:rPr>
            </w:pPr>
            <w:r>
              <w:rPr>
                <w:color w:val="22272F"/>
                <w:sz w:val="23"/>
                <w:szCs w:val="23"/>
              </w:rPr>
              <w:t xml:space="preserve">Кроме того, имеются утвержденные </w:t>
            </w:r>
            <w:proofErr w:type="spellStart"/>
            <w:r>
              <w:rPr>
                <w:color w:val="22272F"/>
                <w:sz w:val="23"/>
                <w:szCs w:val="23"/>
              </w:rPr>
              <w:t>Роспотребнадзором</w:t>
            </w:r>
            <w:proofErr w:type="spellEnd"/>
            <w:r>
              <w:rPr>
                <w:color w:val="22272F"/>
                <w:sz w:val="23"/>
                <w:szCs w:val="23"/>
              </w:rPr>
              <w:t xml:space="preserve"> 28.12.2010 </w:t>
            </w:r>
            <w:hyperlink r:id="rId32" w:anchor="/document/70512228/entry/0" w:history="1">
              <w:r>
                <w:rPr>
                  <w:rStyle w:val="a4"/>
                  <w:color w:val="3272C0"/>
                  <w:sz w:val="23"/>
                  <w:szCs w:val="23"/>
                </w:rPr>
                <w:t>Методические рекомендации</w:t>
              </w:r>
            </w:hyperlink>
            <w:r>
              <w:rPr>
                <w:color w:val="22272F"/>
                <w:sz w:val="23"/>
                <w:szCs w:val="23"/>
              </w:rPr>
              <w:t> MP 2.2.8.0017-10. В них содержатся в том числе и рекомендации по режиму работы в нагревающей среде. Однако эти рекомендации также не обязательны для применения и предполагают лишь чередование периодов работы в условиях повышенных температур с работой или отдыхом в условиях нормального микроклимата, но не сокращение продолжительности рабочего дня.</w:t>
            </w:r>
          </w:p>
          <w:p w:rsidR="00B11237" w:rsidRDefault="00B11237" w:rsidP="00B11237"/>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33" w:history="1">
              <w:r w:rsidRPr="00D52B05">
                <w:rPr>
                  <w:rStyle w:val="a4"/>
                  <w:color w:val="FF0000"/>
                  <w:sz w:val="16"/>
                  <w:szCs w:val="16"/>
                </w:rPr>
                <w:t>https://www.eseur.ru/kaluga/</w:t>
              </w:r>
            </w:hyperlink>
          </w:p>
        </w:tc>
      </w:tr>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6" name="Рисунок 6"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7" name="Рисунок 7"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34"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35</w:t>
                  </w:r>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r>
                    <w:rPr>
                      <w:b/>
                      <w:bCs/>
                      <w:color w:val="ED7D31" w:themeColor="accent2"/>
                      <w:kern w:val="36"/>
                      <w:sz w:val="28"/>
                      <w:szCs w:val="28"/>
                    </w:rPr>
                    <w:t>Судебная практика: продление «больничного» по суду.</w:t>
                  </w: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Default="00B11237" w:rsidP="00B11237">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Суд может своим решением продлить больничный пациенту</w:t>
            </w:r>
          </w:p>
          <w:p w:rsidR="00B11237" w:rsidRDefault="00B11237" w:rsidP="00B11237">
            <w:pPr>
              <w:pStyle w:val="s1"/>
              <w:shd w:val="clear" w:color="auto" w:fill="FFFFFF"/>
              <w:jc w:val="both"/>
              <w:rPr>
                <w:color w:val="22272F"/>
                <w:sz w:val="23"/>
                <w:szCs w:val="23"/>
              </w:rPr>
            </w:pPr>
            <w:hyperlink r:id="rId35" w:tgtFrame="_blank" w:history="1">
              <w:r>
                <w:rPr>
                  <w:rStyle w:val="a4"/>
                  <w:color w:val="3272C0"/>
                  <w:sz w:val="23"/>
                  <w:szCs w:val="23"/>
                </w:rPr>
                <w:t>Определение Девятого КСОЮ 16 мая 2024 г. по делу N 8Г-1697/2024</w:t>
              </w:r>
            </w:hyperlink>
          </w:p>
          <w:p w:rsidR="00B11237" w:rsidRDefault="00B11237" w:rsidP="00B11237">
            <w:pPr>
              <w:pStyle w:val="s1"/>
              <w:shd w:val="clear" w:color="auto" w:fill="FFFFFF"/>
              <w:jc w:val="both"/>
              <w:rPr>
                <w:color w:val="22272F"/>
                <w:sz w:val="23"/>
                <w:szCs w:val="23"/>
              </w:rPr>
            </w:pPr>
            <w:r>
              <w:rPr>
                <w:color w:val="22272F"/>
                <w:sz w:val="23"/>
                <w:szCs w:val="23"/>
              </w:rPr>
              <w:t xml:space="preserve">Пациентка - которой, по ее мнению, слишком рано закрыли "больничный" по неврологическому заболеванию, после инсульта, - обратилась в суд с иском к поликлинике, а также к врачу-терапевту, о признании незаконными действий по закрытию листка нетрудоспособности (ранее неоднократно </w:t>
            </w:r>
            <w:proofErr w:type="spellStart"/>
            <w:r>
              <w:rPr>
                <w:color w:val="22272F"/>
                <w:sz w:val="23"/>
                <w:szCs w:val="23"/>
              </w:rPr>
              <w:t>продлевавшегося</w:t>
            </w:r>
            <w:proofErr w:type="spellEnd"/>
            <w:r>
              <w:rPr>
                <w:color w:val="22272F"/>
                <w:sz w:val="23"/>
                <w:szCs w:val="23"/>
              </w:rPr>
              <w:t xml:space="preserve"> решением врачебной комиссии), возложении обязанности устранить нарушение, компенсации морального вреда.</w:t>
            </w:r>
          </w:p>
          <w:p w:rsidR="00B11237" w:rsidRDefault="00B11237" w:rsidP="00B11237">
            <w:pPr>
              <w:pStyle w:val="s1"/>
              <w:shd w:val="clear" w:color="auto" w:fill="FFFFFF"/>
              <w:jc w:val="both"/>
              <w:rPr>
                <w:color w:val="22272F"/>
                <w:sz w:val="23"/>
                <w:szCs w:val="23"/>
              </w:rPr>
            </w:pPr>
            <w:r>
              <w:rPr>
                <w:color w:val="22272F"/>
                <w:sz w:val="23"/>
                <w:szCs w:val="23"/>
              </w:rPr>
              <w:t>При этом, после закрытия больничного, истица из-за своего плохого самочувствия на работу не вышла, но впоследствии у врача-невролога (в день закрытия больничного он был в отпуске) взяла справку о том, что в спорный период она являлась нетрудоспособной и продолжала болеть. В суде пациентка рассказала, что работать она не может по состоянию здоровья, инвалидность ей не установили и в настоящее время она осталась без средств к существованию - ведь без больничного не выплачивается пособие по нетрудоспособности.</w:t>
            </w:r>
          </w:p>
          <w:p w:rsidR="00B11237" w:rsidRDefault="00B11237" w:rsidP="00B11237">
            <w:pPr>
              <w:pStyle w:val="s1"/>
              <w:shd w:val="clear" w:color="auto" w:fill="FFFFFF"/>
              <w:jc w:val="both"/>
              <w:rPr>
                <w:color w:val="22272F"/>
                <w:sz w:val="23"/>
                <w:szCs w:val="23"/>
              </w:rPr>
            </w:pPr>
            <w:r>
              <w:rPr>
                <w:color w:val="22272F"/>
                <w:sz w:val="23"/>
                <w:szCs w:val="23"/>
              </w:rPr>
              <w:t>В пользу истицы говорило и то, что эксперт СМО проверил качество медпомощи, оказанной терапевтом, и выявил невыполнение, несвоевременное / ненадлежащее выполнение необходимых пациенту диагностических и (или) лечебных мероприятий в соответствии с </w:t>
            </w:r>
            <w:hyperlink r:id="rId36" w:anchor="/document/5755550/entry/0" w:history="1">
              <w:r>
                <w:rPr>
                  <w:rStyle w:val="a4"/>
                  <w:color w:val="3272C0"/>
                  <w:sz w:val="23"/>
                  <w:szCs w:val="23"/>
                </w:rPr>
                <w:t>порядками</w:t>
              </w:r>
            </w:hyperlink>
            <w:r>
              <w:rPr>
                <w:color w:val="22272F"/>
                <w:sz w:val="23"/>
                <w:szCs w:val="23"/>
              </w:rPr>
              <w:t> оказания медицинской помощи, на основе </w:t>
            </w:r>
            <w:hyperlink r:id="rId37" w:anchor="/document/57411597/entry/0" w:history="1">
              <w:r>
                <w:rPr>
                  <w:rStyle w:val="a4"/>
                  <w:color w:val="3272C0"/>
                  <w:sz w:val="23"/>
                  <w:szCs w:val="23"/>
                </w:rPr>
                <w:t>клинических рекомендаций</w:t>
              </w:r>
            </w:hyperlink>
            <w:r>
              <w:rPr>
                <w:color w:val="22272F"/>
                <w:sz w:val="23"/>
                <w:szCs w:val="23"/>
              </w:rPr>
              <w:t> и с учетом </w:t>
            </w:r>
            <w:hyperlink r:id="rId38" w:anchor="/document/5181709/entry/0" w:history="1">
              <w:r>
                <w:rPr>
                  <w:rStyle w:val="a4"/>
                  <w:color w:val="3272C0"/>
                  <w:sz w:val="23"/>
                  <w:szCs w:val="23"/>
                </w:rPr>
                <w:t>стандартов</w:t>
              </w:r>
            </w:hyperlink>
            <w:r>
              <w:rPr>
                <w:color w:val="22272F"/>
                <w:sz w:val="23"/>
                <w:szCs w:val="23"/>
              </w:rPr>
              <w:t xml:space="preserve"> медицинской помощи, рекомендаций по применению </w:t>
            </w:r>
            <w:r>
              <w:rPr>
                <w:color w:val="22272F"/>
                <w:sz w:val="23"/>
                <w:szCs w:val="23"/>
              </w:rPr>
              <w:lastRenderedPageBreak/>
              <w:t>методов профилактики, диагностики, лечения и реабилитации, данных медработниками НМИЦ в ходе консультаций/консилиумов с применением телемедицинских технологий, </w:t>
            </w:r>
            <w:r>
              <w:rPr>
                <w:rStyle w:val="s10"/>
                <w:b/>
                <w:bCs/>
                <w:color w:val="22272F"/>
                <w:sz w:val="23"/>
                <w:szCs w:val="23"/>
              </w:rPr>
              <w:t>не повлиявшее</w:t>
            </w:r>
            <w:r>
              <w:rPr>
                <w:color w:val="22272F"/>
                <w:sz w:val="23"/>
                <w:szCs w:val="23"/>
              </w:rPr>
              <w:t> на состояние здоровья застрахованного лица. При этом та же проверка не нашла никаких нарушений в неврологической медпомощи, оказанной пациентке.</w:t>
            </w:r>
          </w:p>
          <w:p w:rsidR="00B11237" w:rsidRDefault="00B11237" w:rsidP="00B11237">
            <w:pPr>
              <w:pStyle w:val="s1"/>
              <w:shd w:val="clear" w:color="auto" w:fill="FFFFFF"/>
              <w:jc w:val="both"/>
              <w:rPr>
                <w:color w:val="22272F"/>
                <w:sz w:val="23"/>
                <w:szCs w:val="23"/>
              </w:rPr>
            </w:pPr>
            <w:r>
              <w:rPr>
                <w:color w:val="22272F"/>
                <w:sz w:val="23"/>
                <w:szCs w:val="23"/>
              </w:rPr>
              <w:t>Иск (к поликлинике, а не к врачу) был частично удовлетворен:</w:t>
            </w:r>
          </w:p>
          <w:p w:rsidR="00B11237" w:rsidRDefault="00B11237" w:rsidP="00B11237">
            <w:pPr>
              <w:pStyle w:val="s1"/>
              <w:shd w:val="clear" w:color="auto" w:fill="FFFFFF"/>
              <w:jc w:val="both"/>
              <w:rPr>
                <w:color w:val="22272F"/>
                <w:sz w:val="23"/>
                <w:szCs w:val="23"/>
              </w:rPr>
            </w:pPr>
            <w:r>
              <w:rPr>
                <w:color w:val="22272F"/>
                <w:sz w:val="23"/>
                <w:szCs w:val="23"/>
              </w:rPr>
              <w:t>- согласно выводу судебно-медицинской экспертизы, выписка пациента была "сделана не правомочно". Данный вывод согласуется также с иными доказательствами;</w:t>
            </w:r>
          </w:p>
          <w:p w:rsidR="00B11237" w:rsidRDefault="00B11237" w:rsidP="00B11237">
            <w:pPr>
              <w:pStyle w:val="s1"/>
              <w:shd w:val="clear" w:color="auto" w:fill="FFFFFF"/>
              <w:jc w:val="both"/>
              <w:rPr>
                <w:color w:val="22272F"/>
                <w:sz w:val="23"/>
                <w:szCs w:val="23"/>
              </w:rPr>
            </w:pPr>
            <w:r>
              <w:rPr>
                <w:color w:val="22272F"/>
                <w:sz w:val="23"/>
                <w:szCs w:val="23"/>
              </w:rPr>
              <w:t>- </w:t>
            </w:r>
            <w:hyperlink r:id="rId39" w:anchor="/document/403137059/entry/1071" w:history="1">
              <w:r>
                <w:rPr>
                  <w:rStyle w:val="a4"/>
                  <w:color w:val="3272C0"/>
                  <w:sz w:val="23"/>
                  <w:szCs w:val="23"/>
                </w:rPr>
                <w:t>пунктом 71</w:t>
              </w:r>
            </w:hyperlink>
            <w:r>
              <w:rPr>
                <w:color w:val="22272F"/>
                <w:sz w:val="23"/>
                <w:szCs w:val="23"/>
              </w:rPr>
              <w:t> Порядка формирования листков нетрудоспособности, утвержденного </w:t>
            </w:r>
            <w:hyperlink r:id="rId40" w:anchor="/document/403137059/entry/0" w:history="1">
              <w:r>
                <w:rPr>
                  <w:rStyle w:val="a4"/>
                  <w:color w:val="3272C0"/>
                  <w:sz w:val="23"/>
                  <w:szCs w:val="23"/>
                </w:rPr>
                <w:t>приказом</w:t>
              </w:r>
            </w:hyperlink>
            <w:r>
              <w:rPr>
                <w:color w:val="22272F"/>
                <w:sz w:val="23"/>
                <w:szCs w:val="23"/>
              </w:rPr>
              <w:t> Минздрава России от 23.11.2021 N 1089н, предусмотрено, что в случае оказания медпомощи и при необходимости освобождения от работы гражданина в связи с наступившим заболеванием формируется первичный листок нетрудоспособности. В случае продолжения оказания медпомощи гражданину по заболеванию, наступившему ранее, листок нетрудоспособности продлевается по данному заболеванию до восстановления трудоспособности (направления на МСЭ);</w:t>
            </w:r>
          </w:p>
          <w:p w:rsidR="00B11237" w:rsidRDefault="00B11237" w:rsidP="00B11237">
            <w:pPr>
              <w:pStyle w:val="s1"/>
              <w:shd w:val="clear" w:color="auto" w:fill="FFFFFF"/>
              <w:jc w:val="both"/>
              <w:rPr>
                <w:color w:val="22272F"/>
                <w:sz w:val="23"/>
                <w:szCs w:val="23"/>
              </w:rPr>
            </w:pPr>
            <w:r>
              <w:rPr>
                <w:color w:val="22272F"/>
                <w:sz w:val="23"/>
                <w:szCs w:val="23"/>
              </w:rPr>
              <w:t>- руководствуясь положениями </w:t>
            </w:r>
            <w:hyperlink r:id="rId41" w:anchor="/document/70299176/entry/10000" w:history="1">
              <w:r>
                <w:rPr>
                  <w:rStyle w:val="a4"/>
                  <w:color w:val="3272C0"/>
                  <w:sz w:val="23"/>
                  <w:szCs w:val="23"/>
                </w:rPr>
                <w:t>Порядка</w:t>
              </w:r>
            </w:hyperlink>
            <w:r>
              <w:rPr>
                <w:color w:val="22272F"/>
                <w:sz w:val="23"/>
                <w:szCs w:val="23"/>
              </w:rPr>
              <w:t> оказания медпомощи взрослому населению по профилю "терапия", утв. </w:t>
            </w:r>
            <w:hyperlink r:id="rId42" w:anchor="/document/70299176/entry/0" w:history="1">
              <w:r>
                <w:rPr>
                  <w:rStyle w:val="a4"/>
                  <w:color w:val="3272C0"/>
                  <w:sz w:val="23"/>
                  <w:szCs w:val="23"/>
                </w:rPr>
                <w:t>приказом</w:t>
              </w:r>
            </w:hyperlink>
            <w:r>
              <w:rPr>
                <w:color w:val="22272F"/>
                <w:sz w:val="23"/>
                <w:szCs w:val="23"/>
              </w:rPr>
              <w:t> Минздрава РФ от 15.11.2012 N 923н, суд приходит к выводу, что врачом-терапевтом поликлиники не были предприняты все необходимые меры для определения трудоспособности истицы, не учтено, что на момент выписки на работу пациент нуждался в продолжении неврологического лечения, поскольку клинические проявления заболевания не имели положительной динамики, а выздоровления от заболевания, ставшего поводом для открытия истцу листка временной нетрудоспособности, не наступило;</w:t>
            </w:r>
          </w:p>
          <w:p w:rsidR="00B11237" w:rsidRDefault="00B11237" w:rsidP="00B11237">
            <w:pPr>
              <w:pStyle w:val="s1"/>
              <w:shd w:val="clear" w:color="auto" w:fill="FFFFFF"/>
              <w:jc w:val="both"/>
              <w:rPr>
                <w:color w:val="22272F"/>
                <w:sz w:val="23"/>
                <w:szCs w:val="23"/>
              </w:rPr>
            </w:pPr>
            <w:r>
              <w:rPr>
                <w:color w:val="22272F"/>
                <w:sz w:val="23"/>
                <w:szCs w:val="23"/>
              </w:rPr>
              <w:t>- таким образом, решение о закрытии листка нетрудоспособности являлось необоснованным и незаконным, что свидетельствует о нарушении прав истца в сфере охраны здоровья и в соответствии со </w:t>
            </w:r>
            <w:hyperlink r:id="rId43" w:anchor="/document/10164072/entry/150" w:history="1">
              <w:r>
                <w:rPr>
                  <w:rStyle w:val="a4"/>
                  <w:color w:val="3272C0"/>
                  <w:sz w:val="23"/>
                  <w:szCs w:val="23"/>
                </w:rPr>
                <w:t>ст. 150</w:t>
              </w:r>
            </w:hyperlink>
            <w:r>
              <w:rPr>
                <w:color w:val="22272F"/>
                <w:sz w:val="23"/>
                <w:szCs w:val="23"/>
              </w:rPr>
              <w:t>, </w:t>
            </w:r>
            <w:hyperlink r:id="rId44" w:anchor="/document/10164072/entry/151" w:history="1">
              <w:r>
                <w:rPr>
                  <w:rStyle w:val="a4"/>
                  <w:color w:val="3272C0"/>
                  <w:sz w:val="23"/>
                  <w:szCs w:val="23"/>
                </w:rPr>
                <w:t>151</w:t>
              </w:r>
            </w:hyperlink>
            <w:r>
              <w:rPr>
                <w:color w:val="22272F"/>
                <w:sz w:val="23"/>
                <w:szCs w:val="23"/>
              </w:rPr>
              <w:t> Гражданского кодекса РФ </w:t>
            </w:r>
            <w:hyperlink r:id="rId45" w:tgtFrame="_blank" w:history="1">
              <w:r>
                <w:rPr>
                  <w:rStyle w:val="a4"/>
                  <w:color w:val="3272C0"/>
                  <w:sz w:val="23"/>
                  <w:szCs w:val="23"/>
                </w:rPr>
                <w:t>является</w:t>
              </w:r>
            </w:hyperlink>
            <w:r>
              <w:rPr>
                <w:color w:val="22272F"/>
                <w:sz w:val="23"/>
                <w:szCs w:val="23"/>
              </w:rPr>
              <w:t> основанием для компенсации пациентке морального вреда в 50 000 рублей.</w:t>
            </w:r>
          </w:p>
          <w:p w:rsidR="00B11237" w:rsidRDefault="00B11237" w:rsidP="00B11237">
            <w:pPr>
              <w:pStyle w:val="s1"/>
              <w:shd w:val="clear" w:color="auto" w:fill="FFFFFF"/>
              <w:jc w:val="both"/>
              <w:rPr>
                <w:color w:val="22272F"/>
                <w:sz w:val="23"/>
                <w:szCs w:val="23"/>
              </w:rPr>
            </w:pPr>
            <w:r>
              <w:rPr>
                <w:color w:val="22272F"/>
                <w:sz w:val="23"/>
                <w:szCs w:val="23"/>
              </w:rPr>
              <w:t>Итог: решением суда пациентке выдан новый листок нетрудоспособности на запрошенный ею период.</w:t>
            </w:r>
          </w:p>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46" w:history="1">
              <w:r w:rsidRPr="00D52B05">
                <w:rPr>
                  <w:rStyle w:val="a4"/>
                  <w:color w:val="FF0000"/>
                  <w:sz w:val="16"/>
                  <w:szCs w:val="16"/>
                </w:rPr>
                <w:t>https://www.eseur.ru/kaluga/</w:t>
              </w:r>
            </w:hyperlink>
          </w:p>
        </w:tc>
      </w:tr>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8" name="Рисунок 8"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9" name="Рисунок 9"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47"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36</w:t>
                  </w:r>
                  <w:bookmarkStart w:id="0" w:name="_GoBack"/>
                  <w:bookmarkEnd w:id="0"/>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48" w:history="1">
              <w:r w:rsidRPr="00D52B05">
                <w:rPr>
                  <w:rStyle w:val="a4"/>
                  <w:color w:val="FF0000"/>
                  <w:sz w:val="16"/>
                  <w:szCs w:val="16"/>
                </w:rPr>
                <w:t>https://www.eseur.ru/kaluga/</w:t>
              </w:r>
            </w:hyperlink>
          </w:p>
        </w:tc>
      </w:tr>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lastRenderedPageBreak/>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10" name="Рисунок 10"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11" name="Рисунок 11"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49"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31</w:t>
                  </w:r>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50" w:history="1">
              <w:r w:rsidRPr="00D52B05">
                <w:rPr>
                  <w:rStyle w:val="a4"/>
                  <w:color w:val="FF0000"/>
                  <w:sz w:val="16"/>
                  <w:szCs w:val="16"/>
                </w:rPr>
                <w:t>https://www.eseur.ru/kaluga/</w:t>
              </w:r>
            </w:hyperlink>
          </w:p>
        </w:tc>
      </w:tr>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12" name="Рисунок 12"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15" name="Рисунок 1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51"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31</w:t>
                  </w:r>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52" w:history="1">
              <w:r w:rsidRPr="00D52B05">
                <w:rPr>
                  <w:rStyle w:val="a4"/>
                  <w:color w:val="FF0000"/>
                  <w:sz w:val="16"/>
                  <w:szCs w:val="16"/>
                </w:rPr>
                <w:t>https://www.eseur.ru/kaluga/</w:t>
              </w:r>
            </w:hyperlink>
          </w:p>
        </w:tc>
      </w:tr>
      <w:tr w:rsidR="00B11237" w:rsidTr="00B11237">
        <w:trPr>
          <w:trHeight w:val="3954"/>
        </w:trPr>
        <w:tc>
          <w:tcPr>
            <w:tcW w:w="11199" w:type="dxa"/>
          </w:tcPr>
          <w:p w:rsidR="00B11237" w:rsidRPr="00726C3F" w:rsidRDefault="00B11237" w:rsidP="004A4D93">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B11237" w:rsidTr="004A4D93">
              <w:trPr>
                <w:trHeight w:val="2611"/>
              </w:trPr>
              <w:tc>
                <w:tcPr>
                  <w:tcW w:w="4859" w:type="dxa"/>
                  <w:tcBorders>
                    <w:top w:val="single" w:sz="4" w:space="0" w:color="auto"/>
                    <w:left w:val="single" w:sz="4" w:space="0" w:color="auto"/>
                    <w:bottom w:val="single" w:sz="4" w:space="0" w:color="auto"/>
                    <w:right w:val="single" w:sz="4" w:space="0" w:color="auto"/>
                  </w:tcBorders>
                  <w:hideMark/>
                </w:tcPr>
                <w:p w:rsidR="00B11237" w:rsidRDefault="00B11237" w:rsidP="004A4D93">
                  <w:pPr>
                    <w:pStyle w:val="ConsPlusNormal"/>
                    <w:tabs>
                      <w:tab w:val="left" w:pos="87"/>
                      <w:tab w:val="left" w:pos="3432"/>
                    </w:tabs>
                    <w:ind w:left="-234"/>
                    <w:jc w:val="center"/>
                    <w:rPr>
                      <w:sz w:val="28"/>
                      <w:szCs w:val="28"/>
                      <w:lang w:eastAsia="en-US"/>
                    </w:rPr>
                  </w:pPr>
                  <w:r>
                    <w:rPr>
                      <w:noProof/>
                    </w:rPr>
                    <w:drawing>
                      <wp:inline distT="0" distB="0" distL="0" distR="0" wp14:anchorId="20888275" wp14:editId="30019826">
                        <wp:extent cx="1798320" cy="1973580"/>
                        <wp:effectExtent l="0" t="0" r="0" b="7620"/>
                        <wp:docPr id="16" name="Рисунок 16"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4836B4E2" wp14:editId="75C61C16">
                        <wp:extent cx="1036320" cy="1501140"/>
                        <wp:effectExtent l="0" t="0" r="0" b="3810"/>
                        <wp:docPr id="17" name="Рисунок 17"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B11237" w:rsidRDefault="00B11237" w:rsidP="004A4D93">
                  <w:pPr>
                    <w:jc w:val="center"/>
                    <w:rPr>
                      <w:b/>
                      <w:sz w:val="28"/>
                      <w:szCs w:val="28"/>
                    </w:rPr>
                  </w:pPr>
                  <w:r>
                    <w:rPr>
                      <w:b/>
                      <w:sz w:val="28"/>
                      <w:szCs w:val="28"/>
                    </w:rPr>
                    <w:t xml:space="preserve">КАЛУЖСКАЯ ОБЛАСТНАЯ ОРГАНИЗАЦИЯ </w:t>
                  </w:r>
                </w:p>
                <w:p w:rsidR="00B11237" w:rsidRPr="006355F5" w:rsidRDefault="00B11237" w:rsidP="004A4D93">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B11237" w:rsidRDefault="00B11237" w:rsidP="004A4D93">
                  <w:pPr>
                    <w:pStyle w:val="ConsPlusTitle"/>
                    <w:jc w:val="center"/>
                  </w:pPr>
                </w:p>
                <w:p w:rsidR="00B11237" w:rsidRPr="00A037AE" w:rsidRDefault="00B11237" w:rsidP="004A4D93">
                  <w:pPr>
                    <w:pStyle w:val="ConsPlusTitle"/>
                    <w:jc w:val="center"/>
                    <w:rPr>
                      <w:color w:val="222A35" w:themeColor="text2" w:themeShade="80"/>
                      <w:lang w:eastAsia="en-US"/>
                    </w:rPr>
                  </w:pPr>
                  <w:hyperlink r:id="rId53" w:history="1">
                    <w:r w:rsidRPr="00A037AE">
                      <w:rPr>
                        <w:rStyle w:val="a4"/>
                        <w:color w:val="222A35" w:themeColor="text2" w:themeShade="80"/>
                        <w:sz w:val="28"/>
                        <w:szCs w:val="28"/>
                      </w:rPr>
                      <w:t>https://www.eseur.ru/kaluga/</w:t>
                    </w:r>
                  </w:hyperlink>
                </w:p>
                <w:p w:rsidR="00B11237" w:rsidRPr="00A037AE" w:rsidRDefault="00B11237" w:rsidP="004A4D93">
                  <w:pPr>
                    <w:pStyle w:val="ConsPlusTitle"/>
                    <w:jc w:val="center"/>
                    <w:rPr>
                      <w:color w:val="222A35" w:themeColor="text2" w:themeShade="80"/>
                      <w:sz w:val="32"/>
                      <w:szCs w:val="32"/>
                      <w:lang w:eastAsia="en-US"/>
                    </w:rPr>
                  </w:pPr>
                </w:p>
                <w:p w:rsidR="00B11237" w:rsidRDefault="00B11237" w:rsidP="004A4D93">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31</w:t>
                  </w:r>
                </w:p>
                <w:p w:rsidR="00B11237" w:rsidRPr="00A037AE" w:rsidRDefault="00B11237" w:rsidP="004A4D93">
                  <w:pPr>
                    <w:pStyle w:val="ConsPlusTitle"/>
                    <w:jc w:val="center"/>
                    <w:rPr>
                      <w:color w:val="FF0000"/>
                      <w:sz w:val="32"/>
                      <w:szCs w:val="32"/>
                      <w:lang w:eastAsia="en-US"/>
                    </w:rPr>
                  </w:pPr>
                </w:p>
                <w:p w:rsidR="00B11237" w:rsidRPr="00502D2A" w:rsidRDefault="00B11237" w:rsidP="004A4D93">
                  <w:pPr>
                    <w:pStyle w:val="s74"/>
                    <w:shd w:val="clear" w:color="auto" w:fill="F0E9D3"/>
                    <w:spacing w:before="240" w:beforeAutospacing="0" w:after="240" w:afterAutospacing="0"/>
                    <w:jc w:val="center"/>
                    <w:rPr>
                      <w:b/>
                      <w:bCs/>
                      <w:color w:val="ED7D31" w:themeColor="accent2"/>
                      <w:kern w:val="36"/>
                      <w:sz w:val="28"/>
                      <w:szCs w:val="28"/>
                    </w:rPr>
                  </w:pPr>
                </w:p>
              </w:tc>
            </w:tr>
          </w:tbl>
          <w:p w:rsidR="00B11237" w:rsidRDefault="00B11237" w:rsidP="004A4D93">
            <w:pPr>
              <w:pStyle w:val="ConsPlusNormal"/>
              <w:jc w:val="both"/>
              <w:rPr>
                <w:sz w:val="28"/>
                <w:szCs w:val="28"/>
                <w:lang w:eastAsia="en-US"/>
              </w:rPr>
            </w:pPr>
          </w:p>
        </w:tc>
      </w:tr>
      <w:tr w:rsidR="00B11237" w:rsidRPr="00416285" w:rsidTr="00B11237">
        <w:tc>
          <w:tcPr>
            <w:tcW w:w="11199" w:type="dxa"/>
          </w:tcPr>
          <w:p w:rsidR="00B11237" w:rsidRPr="00416285" w:rsidRDefault="00B11237" w:rsidP="004A4D93">
            <w:pPr>
              <w:autoSpaceDE w:val="0"/>
              <w:autoSpaceDN w:val="0"/>
              <w:adjustRightInd w:val="0"/>
              <w:spacing w:line="276" w:lineRule="auto"/>
              <w:jc w:val="both"/>
              <w:rPr>
                <w:rFonts w:ascii="Calibri" w:hAnsi="Calibri" w:cs="Calibri"/>
                <w:color w:val="000000"/>
                <w:sz w:val="20"/>
                <w:szCs w:val="20"/>
              </w:rPr>
            </w:pPr>
          </w:p>
        </w:tc>
      </w:tr>
      <w:tr w:rsidR="00B11237" w:rsidTr="00B11237">
        <w:tc>
          <w:tcPr>
            <w:tcW w:w="11199" w:type="dxa"/>
          </w:tcPr>
          <w:p w:rsidR="00B11237"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B11237" w:rsidRPr="00D52B05" w:rsidRDefault="00B11237" w:rsidP="004A4D93">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B11237" w:rsidRPr="00D52B05" w:rsidRDefault="00B11237" w:rsidP="004A4D93">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lastRenderedPageBreak/>
              <w:t>Калуга, июль, 2024</w:t>
            </w:r>
          </w:p>
          <w:p w:rsidR="00B11237" w:rsidRDefault="00B11237" w:rsidP="004A4D93">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54" w:history="1">
              <w:r w:rsidRPr="00D52B05">
                <w:rPr>
                  <w:rStyle w:val="a4"/>
                  <w:color w:val="FF0000"/>
                  <w:sz w:val="16"/>
                  <w:szCs w:val="16"/>
                </w:rPr>
                <w:t>https://www.eseur.ru/kaluga/</w:t>
              </w:r>
            </w:hyperlink>
          </w:p>
        </w:tc>
      </w:tr>
    </w:tbl>
    <w:p w:rsidR="001339BF" w:rsidRDefault="00EF375A" w:rsidP="00B11237"/>
    <w:sectPr w:rsidR="001339BF" w:rsidSect="001E0F5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37"/>
    <w:rsid w:val="001545F9"/>
    <w:rsid w:val="00B11237"/>
    <w:rsid w:val="00D429DE"/>
    <w:rsid w:val="00EF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E67E"/>
  <w15:chartTrackingRefBased/>
  <w15:docId w15:val="{C84C4772-687D-469D-A35A-ACDC39D4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2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11237"/>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B1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1237"/>
    <w:rPr>
      <w:color w:val="0000FF"/>
      <w:u w:val="single"/>
    </w:rPr>
  </w:style>
  <w:style w:type="paragraph" w:customStyle="1" w:styleId="s74">
    <w:name w:val="s_74"/>
    <w:basedOn w:val="a"/>
    <w:rsid w:val="00B11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11237"/>
  </w:style>
  <w:style w:type="paragraph" w:customStyle="1" w:styleId="s1">
    <w:name w:val="s_1"/>
    <w:basedOn w:val="a"/>
    <w:rsid w:val="00B112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services/arbitr/link/339303656"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www.eseur.ru/kaluga/" TargetMode="External"/><Relationship Id="rId42" Type="http://schemas.openxmlformats.org/officeDocument/2006/relationships/hyperlink" Target="https://internet.garant.ru/" TargetMode="External"/><Relationship Id="rId47" Type="http://schemas.openxmlformats.org/officeDocument/2006/relationships/hyperlink" Target="https://www.eseur.ru/kaluga/" TargetMode="External"/><Relationship Id="rId50" Type="http://schemas.openxmlformats.org/officeDocument/2006/relationships/hyperlink" Target="https://www.eseur.ru/kaluga/" TargetMode="External"/><Relationship Id="rId55"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www.eseur.ru/kaluga/" TargetMode="External"/><Relationship Id="rId25" Type="http://schemas.openxmlformats.org/officeDocument/2006/relationships/hyperlink" Target="https://internet.garant.ru/" TargetMode="External"/><Relationship Id="rId33" Type="http://schemas.openxmlformats.org/officeDocument/2006/relationships/hyperlink" Target="https://www.eseur.ru/kaluga/" TargetMode="External"/><Relationship Id="rId38" Type="http://schemas.openxmlformats.org/officeDocument/2006/relationships/hyperlink" Target="https://internet.garant.ru/" TargetMode="External"/><Relationship Id="rId46" Type="http://schemas.openxmlformats.org/officeDocument/2006/relationships/hyperlink" Target="https://www.eseur.ru/kaluga/" TargetMode="External"/><Relationship Id="rId2" Type="http://schemas.openxmlformats.org/officeDocument/2006/relationships/settings" Target="settings.xml"/><Relationship Id="rId16" Type="http://schemas.openxmlformats.org/officeDocument/2006/relationships/hyperlink" Target="https://www.eseur.ru/kaluga/"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www.eseur.ru/kaluga/" TargetMode="Externa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services/arbitr/link/336907793" TargetMode="External"/><Relationship Id="rId53" Type="http://schemas.openxmlformats.org/officeDocument/2006/relationships/hyperlink" Target="https://www.eseur.ru/kaluga/" TargetMode="External"/><Relationship Id="rId5" Type="http://schemas.openxmlformats.org/officeDocument/2006/relationships/image" Target="media/image2.jpeg"/><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www.eseur.ru/kaluga/" TargetMode="External"/><Relationship Id="rId10" Type="http://schemas.openxmlformats.org/officeDocument/2006/relationships/hyperlink" Target="https://www.eseur.ru/kaluga/"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www.eseur.ru/kaluga/" TargetMode="External"/><Relationship Id="rId4" Type="http://schemas.openxmlformats.org/officeDocument/2006/relationships/image" Target="media/image1.jpeg"/><Relationship Id="rId9" Type="http://schemas.openxmlformats.org/officeDocument/2006/relationships/hyperlink" Target="https://www.eseur.ru/kaluga/"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services/arbitr/link/340180798" TargetMode="External"/><Relationship Id="rId43" Type="http://schemas.openxmlformats.org/officeDocument/2006/relationships/hyperlink" Target="https://internet.garant.ru/" TargetMode="External"/><Relationship Id="rId48" Type="http://schemas.openxmlformats.org/officeDocument/2006/relationships/hyperlink" Target="https://www.eseur.ru/kaluga/" TargetMode="External"/><Relationship Id="rId56" Type="http://schemas.openxmlformats.org/officeDocument/2006/relationships/theme" Target="theme/theme1.xml"/><Relationship Id="rId8" Type="http://schemas.openxmlformats.org/officeDocument/2006/relationships/hyperlink" Target="https://www.gosuslugi.ru/" TargetMode="External"/><Relationship Id="rId51" Type="http://schemas.openxmlformats.org/officeDocument/2006/relationships/hyperlink" Target="https://www.eseur.ru/kaluga/"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2523</Words>
  <Characters>14383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2024-07-25T12:22:00Z</dcterms:created>
  <dcterms:modified xsi:type="dcterms:W3CDTF">2024-07-25T12:40:00Z</dcterms:modified>
</cp:coreProperties>
</file>