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63218" w:rsidTr="00563218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63218" w:rsidTr="00563218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218" w:rsidRDefault="00563218" w:rsidP="00563218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D33C00" wp14:editId="4CB194FB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3AD37E0" wp14:editId="37456C49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218" w:rsidRDefault="00563218" w:rsidP="005632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63218" w:rsidRPr="006355F5" w:rsidRDefault="00563218" w:rsidP="0056321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63218" w:rsidRDefault="00563218" w:rsidP="00563218">
                  <w:pPr>
                    <w:pStyle w:val="ConsPlusTitle"/>
                    <w:jc w:val="center"/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48</w:t>
                  </w:r>
                </w:p>
                <w:p w:rsidR="00563218" w:rsidRPr="0080747D" w:rsidRDefault="00563218" w:rsidP="00563218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63218" w:rsidRPr="00D65521" w:rsidRDefault="00563218" w:rsidP="00563218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b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  <w:t>Порядок принятия локальных нормативных актов и ознакомления с ними работников</w:t>
                  </w:r>
                </w:p>
                <w:p w:rsidR="00563218" w:rsidRPr="00984EC2" w:rsidRDefault="00563218" w:rsidP="00563218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(ч.1)</w:t>
                  </w:r>
                </w:p>
              </w:tc>
            </w:tr>
          </w:tbl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63218" w:rsidTr="0056321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разработки и утверждения локальных нормативных актов законом не регламентированы. Работодатель самостоятельно определяет лиц, ответственных за подготовку проектов локальных нормативных актов по тем или иным вопросам, а также сроки выполнения ими подобной работы. При необходимости с целью разработки локального акта может создаваться рабочая группа. Также может быть предусмотрена процедура согласования текста с конкретными специалистами или подразделениями (например, с юриди</w:t>
            </w:r>
            <w:bookmarkStart w:id="0" w:name="_GoBack"/>
            <w:bookmarkEnd w:id="0"/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ческой службой, бухгалтерией). Утверждается локальный нормативный акт удобным работодателю способом: посредством издания отдельного приказа в свободной форме или путем проставления на самом документе утверждающей визы лица, наделенного такими полномочиями.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Согласно </w:t>
            </w:r>
            <w:hyperlink r:id="rId7" w:anchor="/document/12125268/entry/80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части второй ст. 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 наличие представительного органа работников обязывает работодателя при принятии локальных нормативных актов учитывать его мнение в случаях, предусмотренных ТК РФ, другими федеральными законами и иными нормативными правовыми актами РФ, коллективным договором, соглашениями.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Нормы трудового законодательства, устанавливающие такие случаи, неодинаковы как в части указания на конкретный орган, чье мнение необходимо учитывать, так и в части отсылки к конкретному порядку такого учета. Одни статьи ТК РФ требуют учитывать мнение любого представительного органа работников, вторые - лишь мнение выборного органа первичной профсоюзной организации, третьи - мнение выборного органа первичной профсоюзной организации или иного представительного органа работников. Единственная статья закона, в которой установлен порядок учета мнения представительного органа работников при принятии локальных нормативных актов, - это </w:t>
            </w:r>
            <w:hyperlink r:id="rId8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статья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РФ. И речь в ней идет об учете мнения только выборного органа первичной профсоюзной организации. Тем не менее в ТК РФ неоднократно встречается указание на необходимость принятия локального нормативного акта с учетом мнения любого представительного органа работников в порядке, установленном именно </w:t>
            </w:r>
            <w:hyperlink r:id="rId9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РФ. Некоторые статьи ТК РФ предписывают учитывать мнение профсоюза или любого представительного органа работников, вообще не конкретизируя порядок такого учета.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то же время сама </w:t>
            </w:r>
            <w:hyperlink r:id="rId10" w:anchor="/document/12125268/entry/8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статья 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называет соблюдение </w:t>
            </w:r>
            <w:hyperlink r:id="rId11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 условием применимости всех локальных нормативных актов, принимаемых с учетом мнения представительного органа работников и при этом не уточняет вид представителя. Это позволяет утверждать, что обозначенная разница в формулировках не должна влиять на порядок принятия локальных нормативных актов.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Общие положения закона о социальном партнерстве в сфере труда подтверждают верность такого вывода. В соответствии со </w:t>
            </w:r>
            <w:hyperlink r:id="rId12" w:anchor="/document/12125268/entry/53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53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 учет мнения представительного органа работников относится к формам участия работников в управлении организацией. В свою очередь участие работников и их представителей в управлении организацией является формой социального партнерства (</w:t>
            </w:r>
            <w:hyperlink r:id="rId13" w:anchor="/document/12125268/entry/27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27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РФ). Согласно </w:t>
            </w:r>
            <w:hyperlink r:id="rId14" w:anchor="/document/12125268/entry/31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31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ТК РФ в случаях, когда работники данного работодателя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порядке, установленном ТК РФ, представлять интересы всех работников в социальном партнерстве на локальном уровне, на общем собрании (конференции) работников для </w:t>
            </w: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осуществления указанных полномочий тайным голосованием может быть избран из числа работников иной представитель (представительный орган).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Таким образом, даже если закон требует принимать локальный нормативный акт по конкретному вопросу с учетом мнения именно первичной профсоюзной организации, а профсоюзный орган, отвечающий указанным в </w:t>
            </w:r>
            <w:hyperlink r:id="rId15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 критериям, отсутствует, однако имеется иной представительный орган, выбранный трудовым коллективом, работодатель обязан учесть его мнение.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Мнение выборного органа первичной профсоюзной организации в соответствии с частью первой </w:t>
            </w:r>
            <w:hyperlink r:id="rId16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 надлежит учитывать, только когда он представляет интересы всех или большинства работников. Если имеющаяся первичная профсоюзная организация не объединяет более половины трудящихся и не уполномочена представлять интересы всех работников, работодатель при принятии локального нормативного акта вправе обойтись без учета мнения такой профсоюзной организации (определения Приморского краевого суда </w:t>
            </w:r>
            <w:hyperlink r:id="rId17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04.10.2016 N 33-10453/2016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Ленинградского областного суда </w:t>
            </w:r>
            <w:hyperlink r:id="rId18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22.06.2016 N 33-3685/2016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Суда Ханты-Мансийского автономного округа </w:t>
            </w:r>
            <w:hyperlink r:id="rId19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09.12.2014 N 33-5489/2014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Пензенского областного суда </w:t>
            </w:r>
            <w:hyperlink r:id="rId20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21.08.2012 N 33-1928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Московского областного суда </w:t>
            </w:r>
            <w:hyperlink r:id="rId21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04.08.2011 N 33-17593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).</w:t>
            </w:r>
          </w:p>
          <w:p w:rsidR="00563218" w:rsidRPr="00563218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Мнение представительного органа о локальном нормативном акте во всех случаях запрашивается в порядке, установленном </w:t>
            </w:r>
            <w:hyperlink r:id="rId22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РФ, даже если устанавливающая такую необходимость норма не содержит ссылки на эту статью. Например, проверяя соблюдение работодателем процедуры принятия локальных нормативных актов, устанавливающих системы оплаты труда, суды, как правило, руководствуются положениями </w:t>
            </w:r>
            <w:hyperlink r:id="rId23" w:anchor="/document/12125268/entry/372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ст. 372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РФ, хотя </w:t>
            </w:r>
            <w:hyperlink r:id="rId24" w:anchor="/document/12125268/entry/135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статьи 135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и </w:t>
            </w:r>
            <w:hyperlink r:id="rId25" w:anchor="/document/12125268/entry/144" w:history="1">
              <w:r w:rsidRPr="009D024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144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ТК РФ не уточняют порядок учета мнения представительного органа работников (определения Краснодарского краевого суда </w:t>
            </w:r>
            <w:hyperlink r:id="rId26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03.11.2016 N 33-28888/2016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Приморского краевого суда </w:t>
            </w:r>
            <w:hyperlink r:id="rId27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04.10.2016 N 33-10453/2016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Иркутского областного суда </w:t>
            </w:r>
            <w:hyperlink r:id="rId28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21.04.2016 N 33-4942/2016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Воронежского областного суда </w:t>
            </w:r>
            <w:hyperlink r:id="rId29" w:tgtFrame="_blank" w:history="1">
              <w:r w:rsidRPr="009D024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от 16.02.2016 N 33-906/2016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).</w:t>
            </w:r>
          </w:p>
          <w:p w:rsidR="00563218" w:rsidRPr="00EB2392" w:rsidRDefault="00563218" w:rsidP="00563218">
            <w:pPr>
              <w:pStyle w:val="empty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563218" w:rsidTr="0056321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2023</w:t>
            </w:r>
          </w:p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30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63218" w:rsidRDefault="00563218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218" w:rsidRDefault="00563218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218" w:rsidRDefault="00563218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218" w:rsidRDefault="00563218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21" w:rsidRDefault="00D65521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218" w:rsidRDefault="00563218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218" w:rsidRPr="00E051E0" w:rsidRDefault="00563218" w:rsidP="00563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63218" w:rsidTr="00563218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63218" w:rsidTr="00563218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218" w:rsidRDefault="00563218" w:rsidP="00563218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65B8FD" wp14:editId="0C769FF3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DE2DF2E" wp14:editId="4398C080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218" w:rsidRDefault="00563218" w:rsidP="005632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63218" w:rsidRPr="006355F5" w:rsidRDefault="00563218" w:rsidP="0056321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63218" w:rsidRDefault="00563218" w:rsidP="00563218">
                  <w:pPr>
                    <w:pStyle w:val="ConsPlusTitle"/>
                    <w:jc w:val="center"/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31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49</w:t>
                  </w:r>
                </w:p>
                <w:p w:rsidR="00563218" w:rsidRPr="0080747D" w:rsidRDefault="00563218" w:rsidP="00563218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63218" w:rsidRPr="00563218" w:rsidRDefault="00563218" w:rsidP="00563218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</w:pPr>
                  <w:r w:rsidRPr="009D02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  <w:t>Локальные нормативные акты, принятие которых в соответствии с ТК РФ требует учета мнения профсоюза или иного представительного органа работников:</w:t>
                  </w:r>
                </w:p>
                <w:p w:rsidR="00563218" w:rsidRPr="00563218" w:rsidRDefault="00563218" w:rsidP="00563218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</w:pPr>
                  <w:r w:rsidRPr="0056321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  <w:t>(ч.2)</w:t>
                  </w:r>
                </w:p>
              </w:tc>
            </w:tr>
          </w:tbl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63218" w:rsidRPr="00EB2392" w:rsidTr="0056321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графики сменности (</w:t>
            </w:r>
            <w:hyperlink r:id="rId32" w:anchor="/document/12125268/entry/103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103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график работы на вахте (</w:t>
            </w:r>
            <w:hyperlink r:id="rId33" w:anchor="/document/12125268/entry/301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301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правила внутреннего трудового распорядка (</w:t>
            </w:r>
            <w:hyperlink r:id="rId34" w:anchor="/document/12125268/entry/190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190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локальные нормативные акты по охране труда (</w:t>
            </w:r>
            <w:hyperlink r:id="rId35" w:anchor="/document/12125268/entry/214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214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локальный нормативный акт о временном переводе работников на дистанционную работу по инициативе работодателя (</w:t>
            </w:r>
            <w:hyperlink r:id="rId36" w:anchor="/document/12125268/entry/31209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312.9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акты, которыми устанавливаются: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введение электронного документооборота и порядок его осуществления (</w:t>
            </w:r>
            <w:hyperlink r:id="rId37" w:anchor="/document/12125268/entry/2220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22.2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порядок временного обмена документами в форме электронного документа или электронного образа документа с последующим представлением соответствующих документов на бумажном носителе в случае чрезвычайных обстоятельств (</w:t>
            </w:r>
            <w:hyperlink r:id="rId38" w:anchor="/document/12125268/entry/223013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22.3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порядок проведения аттестации работников (</w:t>
            </w:r>
            <w:hyperlink r:id="rId39" w:anchor="/document/12125268/entry/8102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81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перечень должностей работников с ненормированным рабочим днем (</w:t>
            </w:r>
            <w:hyperlink r:id="rId40" w:anchor="/document/12125268/entry/101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101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разделение рабочего дня на части (</w:t>
            </w:r>
            <w:hyperlink r:id="rId41" w:anchor="/document/12125268/entry/105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105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размер и порядок выплаты дополнительного вознаграждения за нерабочие праздничные дни, в которые работники не привлекались к работе (</w:t>
            </w:r>
            <w:hyperlink r:id="rId42" w:anchor="/document/12125268/entry/112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112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порядок и условия предоставления самостоятельно устанавливаемых работодателем дополнительных отпусков (</w:t>
            </w:r>
            <w:hyperlink r:id="rId43" w:anchor="/document/12125268/entry/116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116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системы оплаты труда (</w:t>
            </w:r>
            <w:hyperlink r:id="rId44" w:anchor="/document/12125268/entry/135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135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 </w:t>
            </w:r>
            <w:hyperlink r:id="rId45" w:anchor="/document/12125268/entry/144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144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форма расчетного листка (</w:t>
            </w:r>
            <w:hyperlink r:id="rId46" w:anchor="/document/12125268/entry/136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136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конкретные размеры повышения оплаты труда работников, занятых на работах с вредными и (или) опасными условиями труда (</w:t>
            </w:r>
            <w:hyperlink r:id="rId47" w:anchor="/document/12125268/entry/147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147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конкретные размеры оплаты за работу в выходной или нерабочий праздничный день (</w:t>
            </w:r>
            <w:hyperlink r:id="rId48" w:anchor="/document/12125268/entry/153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153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конкретные размеры повышения оплаты труда за работу в ночное время (</w:t>
            </w:r>
            <w:hyperlink r:id="rId49" w:anchor="/document/12125268/entry/154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154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системы нормирования труда (</w:t>
            </w:r>
            <w:hyperlink r:id="rId50" w:anchor="/document/12125268/entry/159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159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 </w:t>
            </w:r>
            <w:hyperlink r:id="rId51" w:anchor="/document/12125268/entry/162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162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- формы подготовки и дополнительного профессионального образования работников, перечень необходимых профессий и специальностей, в том числе для направления работников на прохождение независимой оценки квалификации (</w:t>
            </w:r>
            <w:hyperlink r:id="rId52" w:anchor="/document/12125268/entry/196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196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порядок применения вахтового метода (</w:t>
            </w:r>
            <w:hyperlink r:id="rId53" w:anchor="/document/12125268/entry/297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297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размер и порядок выплаты надбавки за вахтовый метод работы, размер и порядок компенсации работнику, работающему вахтовым методом, расходов на проезд от места жительства до места нахождения работодателя или пункта сбора (</w:t>
            </w:r>
            <w:hyperlink r:id="rId54" w:anchor="/document/12125268/entry/302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302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порядок взаимодействия дистанционного работника и работодателя (</w:t>
            </w:r>
            <w:hyperlink r:id="rId55" w:anchor="/document/12125268/entry/31203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312.3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режим рабочего времени дистанционного работника, продолжительность и (или) периодичность временной дистанционной работы, условия и порядок вызова/выхода на стационарное рабочее место, порядок предоставления отпусков работнику, выполняющему дистанционную работу на постоянной основе (</w:t>
            </w:r>
            <w:hyperlink r:id="rId56" w:anchor="/document/12125268/entry/31204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312.4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порядок, сроки и размеры выплаты дистанционному работнику компенсации за использование оборудования, программно-технических средств, средств защиты информации и иных средств, а также возмещения расходов, связанных с их использованием (</w:t>
            </w:r>
            <w:hyperlink r:id="rId57" w:anchor="/document/12125268/entry/31206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312.6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распространение на дистанционных работников дополнительных обязанностей работодателя по обеспечению безопасных условий труда и охраны труда (</w:t>
            </w:r>
            <w:hyperlink r:id="rId58" w:anchor="/document/12125268/entry/31207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312.7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 (</w:t>
            </w:r>
            <w:hyperlink r:id="rId59" w:anchor="/document/12125268/entry/325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325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размер, условия и порядок компенсации расходов, связанных с переездом для работы в районы Крайнего Севера и приравненные к ним местности из других регионов Российской Федерации (</w:t>
            </w:r>
            <w:hyperlink r:id="rId60" w:anchor="/document/12125268/entry/326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326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Случаи обязательного учета мнения представительного органа работников при принятии локальных нормативных актов согласно </w:t>
            </w:r>
            <w:hyperlink r:id="rId61" w:anchor="/document/12125268/entry/8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 могут быть предусмотрены не только Трудовым кодексом РФ, но и другими федеральными законами и иными нормативными правовыми актами РФ. В качестве примеров приведем: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</w:t>
            </w:r>
            <w:hyperlink r:id="rId62" w:anchor="/document/12111456/entry/36295" w:history="1">
              <w:r w:rsidRPr="00563218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п. 5 ст. 36.29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Федерального закона от 07.05.1998 N 75-ФЗ "О негосударственных пенсионных фондах", согласно которому пенсионная программа работодателя по досрочному негосударственному пенсионному обеспечению при отсутствии коллективного договора утверждается локальным нормативным актом работодателя с учетом мнения представительного органа работников (при наличии такого представительного органа);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</w:t>
            </w:r>
            <w:hyperlink r:id="rId63" w:anchor="/document/403818048/entry/1005" w:history="1">
              <w:r w:rsidRPr="00563218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п. 5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Особенностей правового регулирования трудовых отношений и иных непосредственно связанных с ними отношений в 2022 и 2023 годах, утв. </w:t>
            </w:r>
            <w:hyperlink r:id="rId64" w:anchor="/document/403818048/entry/0" w:history="1">
              <w:r w:rsidRPr="00563218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Правительства РФ от 30.03.2022 N 511, которым предусмотрено установление локальным нормативным актом с учетом мнения представительного органа работников порядка взаимодействия работника и работодателя, с которым первоначально заключен трудовой договор, в случае временного перевода работника к другому работодателю;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</w:t>
            </w:r>
            <w:hyperlink r:id="rId65" w:anchor="/document/75024227/entry/1018" w:history="1">
              <w:r w:rsidRPr="00563218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п. 18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Особенностей режима рабочего времени и времени отдыха, условий труда водителей автомобилей, утв. </w:t>
            </w:r>
            <w:hyperlink r:id="rId66" w:anchor="/document/75024227/entry/0" w:history="1">
              <w:r w:rsidRPr="00563218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Минтранса России от 16.10.2020 N 424, в соответствии с которым за время, в течение которого водитель находится во время движения автомобиля в составе экипажа и не управляет автомобилем, выплачивается дополнительное вознаграждение, размер которого при отсутствии коллективного договора определяется локальным нормативным актом работодателя, принятым с учетом мнения представительного органа работников.</w:t>
            </w:r>
          </w:p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Коллективные договоры и соглашения, как следует из </w:t>
            </w:r>
            <w:hyperlink r:id="rId67" w:anchor="/document/12125268/entry/8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РФ, могут дополнять нормативно установленный перечень случаев обязательного учета мнения представительного органа работников конкретными вопросами, а могут предусматривать необходимость соблюдения такой процедуры при принятии работодателем всех локальных нормативных актов. Кроме того, 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 (</w:t>
            </w:r>
            <w:hyperlink r:id="rId68" w:anchor="/document/12125268/entry/8003" w:history="1">
              <w:r w:rsidRPr="00563218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часть третья ст. 8</w:t>
              </w:r>
            </w:hyperlink>
            <w:r w:rsidRPr="009D024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РФ).</w:t>
            </w:r>
          </w:p>
          <w:p w:rsidR="00563218" w:rsidRPr="00563218" w:rsidRDefault="00563218" w:rsidP="00D655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563218" w:rsidTr="0056321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P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63218" w:rsidRP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63218" w:rsidRP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56321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56321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56321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56321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63218" w:rsidRP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3218">
              <w:rPr>
                <w:rFonts w:ascii="Arial" w:hAnsi="Arial" w:cs="Arial"/>
                <w:b/>
                <w:sz w:val="16"/>
                <w:szCs w:val="16"/>
              </w:rPr>
              <w:t>Калуга, октябрь, 2023</w:t>
            </w:r>
          </w:p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69" w:history="1">
              <w:r w:rsidRPr="00563218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63218" w:rsidRDefault="00563218" w:rsidP="00563218"/>
    <w:p w:rsidR="00563218" w:rsidRDefault="00563218" w:rsidP="00563218"/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63218" w:rsidTr="00563218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63218" w:rsidTr="00563218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218" w:rsidRDefault="00563218" w:rsidP="00563218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65B8FD" wp14:editId="0C769FF3">
                        <wp:extent cx="1798320" cy="1973580"/>
                        <wp:effectExtent l="0" t="0" r="0" b="7620"/>
                        <wp:docPr id="3" name="Рисунок 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DE2DF2E" wp14:editId="4398C080">
                        <wp:extent cx="1036320" cy="1501140"/>
                        <wp:effectExtent l="0" t="0" r="0" b="3810"/>
                        <wp:docPr id="6" name="Рисунок 6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218" w:rsidRDefault="00563218" w:rsidP="005632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63218" w:rsidRPr="006355F5" w:rsidRDefault="00563218" w:rsidP="0056321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63218" w:rsidRDefault="00563218" w:rsidP="00563218">
                  <w:pPr>
                    <w:pStyle w:val="ConsPlusTitle"/>
                    <w:jc w:val="center"/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0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50</w:t>
                  </w:r>
                </w:p>
                <w:p w:rsidR="00563218" w:rsidRPr="0080747D" w:rsidRDefault="00563218" w:rsidP="00563218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63218" w:rsidRPr="009D0249" w:rsidRDefault="00563218" w:rsidP="00563218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</w:pPr>
                  <w:r w:rsidRPr="009D02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4"/>
                      <w:szCs w:val="24"/>
                      <w:lang w:eastAsia="ru-RU"/>
                    </w:rPr>
                    <w:t>Порядок учета мнения выборного органа первичной профсоюзной организации при принятии локальных нормативных актов</w:t>
                  </w:r>
                </w:p>
                <w:p w:rsidR="00563218" w:rsidRPr="00984EC2" w:rsidRDefault="00563218" w:rsidP="00563218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(ч.3)</w:t>
                  </w:r>
                </w:p>
              </w:tc>
            </w:tr>
          </w:tbl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63218" w:rsidRPr="00EB2392" w:rsidTr="0056321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Pr="009D0249" w:rsidRDefault="00563218" w:rsidP="0056321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</w:pPr>
          </w:p>
          <w:tbl>
            <w:tblPr>
              <w:tblW w:w="1066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1010"/>
              <w:gridCol w:w="265"/>
              <w:gridCol w:w="770"/>
              <w:gridCol w:w="602"/>
              <w:gridCol w:w="73"/>
              <w:gridCol w:w="300"/>
              <w:gridCol w:w="180"/>
              <w:gridCol w:w="60"/>
              <w:gridCol w:w="216"/>
              <w:gridCol w:w="96"/>
              <w:gridCol w:w="204"/>
              <w:gridCol w:w="120"/>
              <w:gridCol w:w="156"/>
              <w:gridCol w:w="108"/>
              <w:gridCol w:w="156"/>
              <w:gridCol w:w="96"/>
              <w:gridCol w:w="312"/>
              <w:gridCol w:w="276"/>
              <w:gridCol w:w="36"/>
              <w:gridCol w:w="276"/>
              <w:gridCol w:w="168"/>
              <w:gridCol w:w="120"/>
              <w:gridCol w:w="108"/>
              <w:gridCol w:w="649"/>
              <w:gridCol w:w="637"/>
              <w:gridCol w:w="2671"/>
            </w:tblGrid>
            <w:tr w:rsidR="00563218" w:rsidRPr="009D0249" w:rsidTr="00D65521">
              <w:tc>
                <w:tcPr>
                  <w:tcW w:w="10663" w:type="dxa"/>
                  <w:gridSpan w:val="2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Работодатель направляет профсоюзу проект ЛНА и обоснование по нему</w:t>
                  </w:r>
                </w:p>
              </w:tc>
            </w:tr>
            <w:tr w:rsidR="00563218" w:rsidRPr="009D0249" w:rsidTr="00D65521">
              <w:tc>
                <w:tcPr>
                  <w:tcW w:w="4018" w:type="dxa"/>
                  <w:gridSpan w:val="7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5" w:type="dxa"/>
                  <w:gridSpan w:val="20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10663" w:type="dxa"/>
                  <w:gridSpan w:val="2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Профсоюз </w:t>
                  </w:r>
                  <w:r w:rsidRPr="00D65521"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0"/>
                      <w:szCs w:val="20"/>
                      <w:lang w:eastAsia="ru-RU"/>
                    </w:rPr>
                    <w:t>не позднее 5 рабочих дней</w:t>
                  </w: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со дня получения проекта направляет работодателю письменное мотивированное мнение</w:t>
                  </w:r>
                </w:p>
              </w:tc>
            </w:tr>
            <w:tr w:rsidR="00563218" w:rsidRPr="009D0249" w:rsidTr="00D65521">
              <w:tc>
                <w:tcPr>
                  <w:tcW w:w="998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72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9" w:type="dxa"/>
                  <w:gridSpan w:val="8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4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gridSpan w:val="7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14" w:type="dxa"/>
                  <w:gridSpan w:val="4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71" w:type="dxa"/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Профсоюз согласен с проектом либо не направил мнение</w:t>
                  </w:r>
                </w:p>
              </w:tc>
              <w:tc>
                <w:tcPr>
                  <w:tcW w:w="265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21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Профсоюз предлагает усовершенствовать проект</w:t>
                  </w:r>
                </w:p>
              </w:tc>
              <w:tc>
                <w:tcPr>
                  <w:tcW w:w="264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4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Профсоюз не согласен с проектом</w:t>
                  </w:r>
                </w:p>
              </w:tc>
              <w:tc>
                <w:tcPr>
                  <w:tcW w:w="2671" w:type="dxa"/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63218" w:rsidRPr="009D0249" w:rsidTr="00D65521">
              <w:tc>
                <w:tcPr>
                  <w:tcW w:w="99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gridSpan w:val="5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" w:type="dxa"/>
                  <w:gridSpan w:val="2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4" w:type="dxa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gridSpan w:val="5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" w:type="dxa"/>
                  <w:gridSpan w:val="2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gridSpan w:val="4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308" w:type="dxa"/>
                  <w:gridSpan w:val="2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Работодатель принимает ЛНА</w:t>
                  </w:r>
                </w:p>
              </w:tc>
              <w:tc>
                <w:tcPr>
                  <w:tcW w:w="265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Работодатель вносит предложенные изменения и принимает ЛНА</w:t>
                  </w:r>
                </w:p>
              </w:tc>
              <w:tc>
                <w:tcPr>
                  <w:tcW w:w="180" w:type="dxa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12" w:type="dxa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Работодателя не устраивает мнение профсоюза</w:t>
                  </w:r>
                </w:p>
              </w:tc>
              <w:tc>
                <w:tcPr>
                  <w:tcW w:w="288" w:type="dxa"/>
                  <w:gridSpan w:val="2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65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Работодатель отказывается от принятия ЛНА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45" w:type="dxa"/>
                  <w:gridSpan w:val="4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0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6" w:type="dxa"/>
                  <w:gridSpan w:val="8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6" w:type="dxa"/>
                  <w:gridSpan w:val="5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65" w:type="dxa"/>
                  <w:gridSpan w:val="4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45" w:type="dxa"/>
                  <w:gridSpan w:val="4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80" w:type="dxa"/>
                  <w:gridSpan w:val="1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Работодатель </w:t>
                  </w:r>
                  <w:r w:rsidRPr="00D65521"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0"/>
                      <w:szCs w:val="20"/>
                      <w:lang w:eastAsia="ru-RU"/>
                    </w:rPr>
                    <w:t>в течение 3 дней</w:t>
                  </w: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после получения мотивированного мнения проводит дополнительные консультации с профсоюзом</w:t>
                  </w:r>
                </w:p>
              </w:tc>
              <w:tc>
                <w:tcPr>
                  <w:tcW w:w="4065" w:type="dxa"/>
                  <w:gridSpan w:val="4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45" w:type="dxa"/>
                  <w:gridSpan w:val="4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gridSpan w:val="3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0" w:type="dxa"/>
                  <w:gridSpan w:val="3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gridSpan w:val="4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65" w:type="dxa"/>
                  <w:gridSpan w:val="4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77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Согласие достигнуто</w:t>
                  </w:r>
                </w:p>
              </w:tc>
              <w:tc>
                <w:tcPr>
                  <w:tcW w:w="360" w:type="dxa"/>
                  <w:gridSpan w:val="3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53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Согласие не достигнуто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5" w:type="dxa"/>
                  <w:gridSpan w:val="3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32" w:type="dxa"/>
                  <w:gridSpan w:val="8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0" w:type="dxa"/>
                  <w:gridSpan w:val="3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6" w:type="dxa"/>
                  <w:gridSpan w:val="7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957" w:type="dxa"/>
                  <w:gridSpan w:val="3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77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Работодатель действует в соответствии с достигнутой договоренностью: принимает ЛНА в согласованной редакции или отказывается от его принятия</w:t>
                  </w:r>
                </w:p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0" w:type="dxa"/>
                  <w:gridSpan w:val="3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53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Оформляется протокол разногласий, работодатель действует по своему усмотрению и вправе принять ЛНА в своей редакции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77" w:type="dxa"/>
                  <w:gridSpan w:val="11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0" w:type="dxa"/>
                  <w:gridSpan w:val="3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6" w:type="dxa"/>
                  <w:gridSpan w:val="7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957" w:type="dxa"/>
                  <w:gridSpan w:val="3"/>
                  <w:tcBorders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63218" w:rsidRPr="009D0249" w:rsidTr="00D65521">
              <w:tc>
                <w:tcPr>
                  <w:tcW w:w="2008" w:type="dxa"/>
                  <w:gridSpan w:val="2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390" w:type="dxa"/>
                  <w:gridSpan w:val="2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Профсоюз может:</w:t>
                  </w:r>
                </w:p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обжаловать ЛНА в ГИТ или в суд</w:t>
                  </w:r>
                </w:p>
                <w:p w:rsidR="00563218" w:rsidRPr="00D65521" w:rsidRDefault="00563218" w:rsidP="0056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color w:val="22272F"/>
                      <w:sz w:val="20"/>
                      <w:szCs w:val="20"/>
                      <w:lang w:eastAsia="ru-RU"/>
                    </w:rPr>
                    <w:t>начать процедуру коллективного трудового спора</w:t>
                  </w:r>
                </w:p>
              </w:tc>
            </w:tr>
          </w:tbl>
          <w:p w:rsidR="00563218" w:rsidRPr="00EB2392" w:rsidRDefault="00563218" w:rsidP="00D65521">
            <w:pPr>
              <w:pStyle w:val="empty"/>
              <w:shd w:val="clear" w:color="auto" w:fill="FFFFFF"/>
              <w:tabs>
                <w:tab w:val="left" w:pos="2556"/>
              </w:tabs>
              <w:jc w:val="both"/>
              <w:rPr>
                <w:color w:val="22272F"/>
              </w:rPr>
            </w:pPr>
          </w:p>
        </w:tc>
      </w:tr>
      <w:tr w:rsidR="00563218" w:rsidTr="0056321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2023</w:t>
            </w:r>
          </w:p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  <w:tr w:rsidR="00563218" w:rsidTr="00563218">
        <w:trPr>
          <w:trHeight w:val="3954"/>
        </w:trPr>
        <w:tc>
          <w:tcPr>
            <w:tcW w:w="11199" w:type="dxa"/>
          </w:tcPr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63218" w:rsidTr="00563218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218" w:rsidRDefault="00563218" w:rsidP="00563218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65B8FD" wp14:editId="0C769FF3">
                        <wp:extent cx="1798320" cy="1973580"/>
                        <wp:effectExtent l="0" t="0" r="0" b="7620"/>
                        <wp:docPr id="7" name="Рисунок 7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DE2DF2E" wp14:editId="4398C080">
                        <wp:extent cx="1036320" cy="1501140"/>
                        <wp:effectExtent l="0" t="0" r="0" b="3810"/>
                        <wp:docPr id="8" name="Рисунок 8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218" w:rsidRDefault="00563218" w:rsidP="005632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63218" w:rsidRPr="006355F5" w:rsidRDefault="00563218" w:rsidP="0056321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63218" w:rsidRDefault="00563218" w:rsidP="00563218">
                  <w:pPr>
                    <w:pStyle w:val="ConsPlusTitle"/>
                    <w:jc w:val="center"/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2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63218" w:rsidRPr="00A037AE" w:rsidRDefault="00563218" w:rsidP="005632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51</w:t>
                  </w:r>
                </w:p>
                <w:p w:rsidR="00563218" w:rsidRPr="0080747D" w:rsidRDefault="00563218" w:rsidP="00563218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63218" w:rsidRPr="00D65521" w:rsidRDefault="00563218" w:rsidP="00563218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8"/>
                      <w:szCs w:val="28"/>
                      <w:lang w:eastAsia="ru-RU"/>
                    </w:rPr>
                  </w:pPr>
                  <w:r w:rsidRPr="00D6552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AD47" w:themeColor="accent6"/>
                      <w:sz w:val="28"/>
                      <w:szCs w:val="28"/>
                      <w:lang w:eastAsia="ru-RU"/>
                    </w:rPr>
                    <w:t>Ознакомление работников с локальными нормативными актами</w:t>
                  </w:r>
                </w:p>
                <w:p w:rsidR="00563218" w:rsidRPr="00984EC2" w:rsidRDefault="00563218" w:rsidP="00563218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(ч.4)</w:t>
                  </w:r>
                </w:p>
              </w:tc>
            </w:tr>
          </w:tbl>
          <w:p w:rsidR="00563218" w:rsidRDefault="00563218" w:rsidP="005632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63218" w:rsidRPr="00EB2392" w:rsidTr="00563218">
        <w:tc>
          <w:tcPr>
            <w:tcW w:w="11199" w:type="dxa"/>
          </w:tcPr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Работодатель обязан знакомить работников под роспись с локальными нормативными актами, непосредственно связанными с их трудовой деятельностью. Устраивающихся на работу согласно </w:t>
            </w:r>
            <w:hyperlink r:id="rId73" w:anchor="/document/12125268/entry/68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68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 необходимо знакомить с принятыми локальными актами еще до подписания трудового договора. С локальными актами, принимаемыми работодателем в процессе трудовой деятельности работников, обязывает знакомить </w:t>
            </w:r>
            <w:hyperlink r:id="rId74" w:anchor="/document/12125268/entry/22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статья 22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РФ. Однако какого-либо конкретного общего срока ознакомления законом не установлено. Лишь в отношении графика сменности и графика работы на вахте предусмотрена необходимость довести их до сведения работников не позднее чем за 1 и за 2 месяца до введения в действие соответственно (</w:t>
            </w:r>
            <w:hyperlink r:id="rId75" w:anchor="/document/12125268/entry/103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103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и </w:t>
            </w:r>
            <w:hyperlink r:id="rId76" w:anchor="/document/12125268/entry/301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ст. 301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РФ).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Порядок ознакомления с локальными нормативными актами подразумевает получение работодателем подписи работника, подтверждающей факт ознакомления. Иных требований к фиксации факта ознакомления закон не устанавливает. На практике применяется один из следующих способов: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оформление листа ознакомления работника с локальными нормативными актами (может представлять собой как приложение к трудовому договору, так и отдельный документ);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создание журнала ознакомления работников;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 создание листов ознакомления работников с каждым актом в отдельности в виде приложения к таким документам.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Когда речь идет об ознакомлении работника с локальными нормативными актами при приеме на работу, можно также включить фразу о таком ознакомлении непосредственно в текст трудового договора.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Ознакомление лица, поступающего на дистанционную работу, с локальными нормативными актами может осуществляться путем обмена электронными документами (</w:t>
            </w:r>
            <w:hyperlink r:id="rId77" w:anchor="/document/12125268/entry/312025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часть пятая ст. 312.2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РФ). В дальнейшем ознакомление дистанционного работника с локальными нормативными актами также может осуществляться путем обмена электронными документами с использованием электронной подписи любого вида или в иной форме, предусмотренной коллективным договором, локальным нормативным актом, принимаемым с учетом мнения профсоюза, трудовым договором, дополнительным соглашением к трудовому договору и позволяющей обеспечить фиксацию факта получения работником и работодателем документов в электронном виде (</w:t>
            </w:r>
            <w:hyperlink r:id="rId78" w:anchor="/document/12125268/entry/312312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часть вторая ст. 312.3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РФ).</w:t>
            </w:r>
          </w:p>
          <w:p w:rsidR="00563218" w:rsidRPr="00D65521" w:rsidRDefault="00563218" w:rsidP="0056321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Если работодатель использует электронный документооборот, ознакомление лица, поступающего на работу, с локальными нормативными актами может осуществляться в электронной форме (</w:t>
            </w:r>
            <w:hyperlink r:id="rId79" w:anchor="/document/12125268/entry/222011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часть одиннадцатая ст. 22.2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РФ). И лица, поступающие на работу, и работники в процессе трудовой деятельности, взаимодействующие с работодателем посредством электронного документооборота, знакомятся с оформленными в электронном виде локальными нормативными актами путем использования цифровой платформы "Работа России" или информационной системы работодателя (</w:t>
            </w:r>
            <w:hyperlink r:id="rId80" w:anchor="/document/12125268/entry/221006" w:history="1">
              <w:r w:rsidRPr="00D65521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u w:val="single"/>
                  <w:lang w:eastAsia="ru-RU"/>
                </w:rPr>
                <w:t>часть шестая ст. 22.1</w:t>
              </w:r>
            </w:hyperlink>
            <w:r w:rsidRPr="00D65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ТК РФ). Лиц, не воспользовавшихся своим правом дать согласие на взаимодействие с работодателем посредством электронного документооборота, необходимо знакомить с локальными нормативными актами традиционным способом: предоставлять документ на бумажном носителе и получать собственноручную подпись об ознакомлении.</w:t>
            </w:r>
          </w:p>
          <w:p w:rsidR="00563218" w:rsidRPr="00D65521" w:rsidRDefault="00563218" w:rsidP="00563218">
            <w:pPr>
              <w:pStyle w:val="empty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</w:p>
        </w:tc>
      </w:tr>
      <w:tr w:rsidR="00563218" w:rsidTr="00563218">
        <w:tc>
          <w:tcPr>
            <w:tcW w:w="11199" w:type="dxa"/>
          </w:tcPr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63218" w:rsidRPr="00D52B05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2023</w:t>
            </w:r>
          </w:p>
          <w:p w:rsidR="00563218" w:rsidRDefault="00563218" w:rsidP="00563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563218" w:rsidRDefault="00563218" w:rsidP="00563218"/>
    <w:p w:rsidR="00DC6291" w:rsidRDefault="00DC6291"/>
    <w:sectPr w:rsidR="00DC6291" w:rsidSect="0056321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18"/>
    <w:rsid w:val="00563218"/>
    <w:rsid w:val="00A94F3D"/>
    <w:rsid w:val="00D65521"/>
    <w:rsid w:val="00D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9341"/>
  <w15:chartTrackingRefBased/>
  <w15:docId w15:val="{725A949C-CD20-4702-B223-3AFAD6F4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63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6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3218"/>
    <w:rPr>
      <w:color w:val="0000FF"/>
      <w:u w:val="single"/>
    </w:rPr>
  </w:style>
  <w:style w:type="paragraph" w:customStyle="1" w:styleId="s1">
    <w:name w:val="s_1"/>
    <w:basedOn w:val="a"/>
    <w:rsid w:val="0056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321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3">
    <w:name w:val="s_3"/>
    <w:basedOn w:val="a"/>
    <w:rsid w:val="0056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6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6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6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services/arbitr/link/142749046" TargetMode="External"/><Relationship Id="rId26" Type="http://schemas.openxmlformats.org/officeDocument/2006/relationships/hyperlink" Target="https://internet.garant.ru/services/arbitr/link/144785160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services/arbitr/link/101536263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services/arbitr/link/141095892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s://internet.garant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services/arbitr/link/132463952" TargetMode="External"/><Relationship Id="rId31" Type="http://schemas.openxmlformats.org/officeDocument/2006/relationships/hyperlink" Target="https://www.eseur.ru/kaluga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services/arbitr/link/143856214" TargetMode="External"/><Relationship Id="rId30" Type="http://schemas.openxmlformats.org/officeDocument/2006/relationships/hyperlink" Target="https://www.eseur.ru/kaluga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www.eseur.ru/kaluga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www.eseur.ru/kaluga/" TargetMode="External"/><Relationship Id="rId80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services/arbitr/link/143856214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services/arbitr/link/100406876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www.eseur.ru/kaluga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services/arbitr/link/142510610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2023-11-21T12:24:00Z</cp:lastPrinted>
  <dcterms:created xsi:type="dcterms:W3CDTF">2023-11-21T11:46:00Z</dcterms:created>
  <dcterms:modified xsi:type="dcterms:W3CDTF">2023-11-21T12:30:00Z</dcterms:modified>
</cp:coreProperties>
</file>