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1312" w:type="dxa"/>
        <w:tblInd w:w="-1310" w:type="dxa"/>
        <w:tblLook w:val="04A0" w:firstRow="1" w:lastRow="0" w:firstColumn="1" w:lastColumn="0" w:noHBand="0" w:noVBand="1"/>
      </w:tblPr>
      <w:tblGrid>
        <w:gridCol w:w="11312"/>
      </w:tblGrid>
      <w:tr w:rsidR="00773845" w:rsidTr="00F70163">
        <w:trPr>
          <w:trHeight w:val="4818"/>
        </w:trPr>
        <w:tc>
          <w:tcPr>
            <w:tcW w:w="11312" w:type="dxa"/>
            <w:tcBorders>
              <w:top w:val="single" w:sz="4" w:space="0" w:color="auto"/>
              <w:left w:val="single" w:sz="4" w:space="0" w:color="auto"/>
              <w:bottom w:val="single" w:sz="4" w:space="0" w:color="auto"/>
              <w:right w:val="single" w:sz="4" w:space="0" w:color="auto"/>
            </w:tcBorders>
          </w:tcPr>
          <w:p w:rsidR="00773845" w:rsidRDefault="00773845" w:rsidP="00F70163">
            <w:pPr>
              <w:pStyle w:val="ConsPlusNormal"/>
              <w:jc w:val="both"/>
              <w:rPr>
                <w:sz w:val="28"/>
                <w:szCs w:val="28"/>
                <w:lang w:eastAsia="en-US"/>
              </w:rPr>
            </w:pPr>
          </w:p>
          <w:tbl>
            <w:tblPr>
              <w:tblStyle w:val="a3"/>
              <w:tblW w:w="11086" w:type="dxa"/>
              <w:tblLook w:val="04A0" w:firstRow="1" w:lastRow="0" w:firstColumn="1" w:lastColumn="0" w:noHBand="0" w:noVBand="1"/>
            </w:tblPr>
            <w:tblGrid>
              <w:gridCol w:w="4859"/>
              <w:gridCol w:w="6227"/>
            </w:tblGrid>
            <w:tr w:rsidR="00773845" w:rsidTr="00F70163">
              <w:tc>
                <w:tcPr>
                  <w:tcW w:w="4859" w:type="dxa"/>
                  <w:tcBorders>
                    <w:top w:val="single" w:sz="4" w:space="0" w:color="auto"/>
                    <w:left w:val="single" w:sz="4" w:space="0" w:color="auto"/>
                    <w:bottom w:val="single" w:sz="4" w:space="0" w:color="auto"/>
                    <w:right w:val="single" w:sz="4" w:space="0" w:color="auto"/>
                  </w:tcBorders>
                  <w:hideMark/>
                </w:tcPr>
                <w:p w:rsidR="00773845" w:rsidRDefault="00773845" w:rsidP="00F70163">
                  <w:pPr>
                    <w:pStyle w:val="ConsPlusNormal"/>
                    <w:tabs>
                      <w:tab w:val="left" w:pos="87"/>
                    </w:tabs>
                    <w:ind w:left="-822"/>
                    <w:jc w:val="both"/>
                    <w:rPr>
                      <w:sz w:val="28"/>
                      <w:szCs w:val="28"/>
                      <w:lang w:eastAsia="en-US"/>
                    </w:rPr>
                  </w:pPr>
                  <w:r>
                    <w:rPr>
                      <w:sz w:val="28"/>
                      <w:szCs w:val="28"/>
                      <w:lang w:eastAsia="en-US"/>
                    </w:rPr>
                    <w:tab/>
                  </w:r>
                  <w:r>
                    <w:rPr>
                      <w:noProof/>
                    </w:rPr>
                    <w:drawing>
                      <wp:inline distT="0" distB="0" distL="0" distR="0" wp14:anchorId="3C7DCEBC" wp14:editId="4170D3BF">
                        <wp:extent cx="2743200" cy="1704975"/>
                        <wp:effectExtent l="0" t="0" r="0" b="9525"/>
                        <wp:docPr id="1" name="Рисунок 1" descr="http://www.eseur.ru/Images/hot416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seur.ru/Images/hot4167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43200" cy="1704975"/>
                                </a:xfrm>
                                <a:prstGeom prst="rect">
                                  <a:avLst/>
                                </a:prstGeom>
                                <a:noFill/>
                                <a:ln>
                                  <a:noFill/>
                                </a:ln>
                              </pic:spPr>
                            </pic:pic>
                          </a:graphicData>
                        </a:graphic>
                      </wp:inline>
                    </w:drawing>
                  </w:r>
                </w:p>
              </w:tc>
              <w:tc>
                <w:tcPr>
                  <w:tcW w:w="6227" w:type="dxa"/>
                  <w:tcBorders>
                    <w:top w:val="single" w:sz="4" w:space="0" w:color="auto"/>
                    <w:left w:val="single" w:sz="4" w:space="0" w:color="auto"/>
                    <w:bottom w:val="single" w:sz="4" w:space="0" w:color="auto"/>
                    <w:right w:val="single" w:sz="4" w:space="0" w:color="auto"/>
                  </w:tcBorders>
                </w:tcPr>
                <w:p w:rsidR="00773845" w:rsidRPr="002B36EE" w:rsidRDefault="00773845" w:rsidP="00F70163">
                  <w:pPr>
                    <w:jc w:val="center"/>
                    <w:rPr>
                      <w:b/>
                      <w:szCs w:val="28"/>
                    </w:rPr>
                  </w:pPr>
                  <w:r>
                    <w:rPr>
                      <w:szCs w:val="28"/>
                    </w:rPr>
                    <w:t xml:space="preserve"> </w:t>
                  </w:r>
                  <w:r w:rsidRPr="002B36EE">
                    <w:rPr>
                      <w:b/>
                      <w:szCs w:val="28"/>
                    </w:rPr>
                    <w:t>ОБЩЕРОССИЙСКИЙ ПРОФСОЮЗ ОБРАЗОВАНИЯ</w:t>
                  </w:r>
                </w:p>
                <w:p w:rsidR="00773845" w:rsidRDefault="00773845" w:rsidP="00F70163">
                  <w:pPr>
                    <w:jc w:val="center"/>
                    <w:rPr>
                      <w:sz w:val="28"/>
                      <w:szCs w:val="28"/>
                    </w:rPr>
                  </w:pPr>
                </w:p>
                <w:p w:rsidR="00773845" w:rsidRDefault="00773845" w:rsidP="00F70163">
                  <w:pPr>
                    <w:jc w:val="center"/>
                    <w:rPr>
                      <w:b/>
                      <w:sz w:val="28"/>
                      <w:szCs w:val="28"/>
                    </w:rPr>
                  </w:pPr>
                  <w:r>
                    <w:rPr>
                      <w:b/>
                      <w:sz w:val="28"/>
                      <w:szCs w:val="28"/>
                    </w:rPr>
                    <w:t xml:space="preserve">КАЛУЖСКАЯ ОБЛАСТНАЯ ОРГАНИЗАЦИЯ </w:t>
                  </w:r>
                </w:p>
                <w:p w:rsidR="00773845" w:rsidRDefault="00773845" w:rsidP="00F70163">
                  <w:pPr>
                    <w:pBdr>
                      <w:bottom w:val="single" w:sz="12" w:space="1" w:color="auto"/>
                    </w:pBdr>
                    <w:jc w:val="center"/>
                    <w:rPr>
                      <w:b/>
                      <w:sz w:val="28"/>
                      <w:szCs w:val="28"/>
                    </w:rPr>
                  </w:pPr>
                  <w:r>
                    <w:rPr>
                      <w:b/>
                      <w:sz w:val="28"/>
                      <w:szCs w:val="28"/>
                    </w:rPr>
                    <w:t>ОБЛАСТНОЙ КОМИТЕТ ПРОФСОЮЗА</w:t>
                  </w:r>
                </w:p>
                <w:p w:rsidR="00773845" w:rsidRDefault="00773845" w:rsidP="00F70163">
                  <w:pPr>
                    <w:rPr>
                      <w:sz w:val="28"/>
                      <w:szCs w:val="28"/>
                    </w:rPr>
                  </w:pPr>
                </w:p>
                <w:p w:rsidR="00773845" w:rsidRDefault="00773845" w:rsidP="00F70163">
                  <w:pPr>
                    <w:pStyle w:val="ConsPlusTitle"/>
                    <w:jc w:val="center"/>
                    <w:rPr>
                      <w:lang w:eastAsia="en-US"/>
                    </w:rPr>
                  </w:pPr>
                </w:p>
                <w:p w:rsidR="00773845" w:rsidRDefault="00773845" w:rsidP="00F70163">
                  <w:pPr>
                    <w:pStyle w:val="ConsPlusTitle"/>
                    <w:jc w:val="center"/>
                    <w:rPr>
                      <w:sz w:val="32"/>
                      <w:szCs w:val="32"/>
                      <w:lang w:eastAsia="en-US"/>
                    </w:rPr>
                  </w:pPr>
                  <w:r>
                    <w:rPr>
                      <w:sz w:val="32"/>
                      <w:szCs w:val="32"/>
                      <w:lang w:eastAsia="en-US"/>
                    </w:rPr>
                    <w:t>Информационный листок № 16.</w:t>
                  </w:r>
                </w:p>
                <w:p w:rsidR="00773845" w:rsidRPr="00EA6464" w:rsidRDefault="00773845" w:rsidP="00F70163">
                  <w:pPr>
                    <w:pStyle w:val="ConsPlusTitle"/>
                    <w:jc w:val="center"/>
                    <w:rPr>
                      <w:color w:val="FF0000"/>
                      <w:sz w:val="36"/>
                      <w:szCs w:val="36"/>
                      <w:lang w:eastAsia="en-US"/>
                    </w:rPr>
                  </w:pPr>
                  <w:r w:rsidRPr="00EA6464">
                    <w:rPr>
                      <w:color w:val="FF0000"/>
                      <w:sz w:val="36"/>
                      <w:szCs w:val="36"/>
                      <w:lang w:eastAsia="en-US"/>
                    </w:rPr>
                    <w:t xml:space="preserve">Ежегодный отпуск для работника </w:t>
                  </w:r>
                </w:p>
                <w:p w:rsidR="00773845" w:rsidRPr="00EA6464" w:rsidRDefault="00773845" w:rsidP="00F70163">
                  <w:pPr>
                    <w:pStyle w:val="ConsPlusTitle"/>
                    <w:jc w:val="center"/>
                    <w:rPr>
                      <w:color w:val="FF0000"/>
                      <w:sz w:val="36"/>
                      <w:szCs w:val="36"/>
                      <w:lang w:eastAsia="en-US"/>
                    </w:rPr>
                  </w:pPr>
                  <w:r w:rsidRPr="00EA6464">
                    <w:rPr>
                      <w:color w:val="FF0000"/>
                      <w:sz w:val="36"/>
                      <w:szCs w:val="36"/>
                      <w:lang w:eastAsia="en-US"/>
                    </w:rPr>
                    <w:t>с неполным рабочим днем.</w:t>
                  </w:r>
                </w:p>
                <w:p w:rsidR="00773845" w:rsidRDefault="00773845" w:rsidP="00F70163">
                  <w:pPr>
                    <w:autoSpaceDE w:val="0"/>
                    <w:autoSpaceDN w:val="0"/>
                    <w:jc w:val="both"/>
                    <w:rPr>
                      <w:sz w:val="28"/>
                      <w:szCs w:val="28"/>
                    </w:rPr>
                  </w:pPr>
                </w:p>
              </w:tc>
            </w:tr>
          </w:tbl>
          <w:p w:rsidR="00773845" w:rsidRDefault="00773845" w:rsidP="00F70163">
            <w:pPr>
              <w:pStyle w:val="ConsPlusNormal"/>
              <w:spacing w:before="220"/>
              <w:ind w:firstLine="540"/>
              <w:jc w:val="both"/>
            </w:pPr>
            <w:r>
              <w:t xml:space="preserve">Особенности регулирования труда женщин, лиц с семейными обязанностями регламентированы </w:t>
            </w:r>
            <w:hyperlink r:id="rId5" w:history="1">
              <w:r>
                <w:rPr>
                  <w:color w:val="0000FF"/>
                </w:rPr>
                <w:t>главой 41</w:t>
              </w:r>
            </w:hyperlink>
            <w:r>
              <w:t xml:space="preserve"> Трудового кодекса Российской Федерации (далее - ТК).</w:t>
            </w:r>
          </w:p>
          <w:p w:rsidR="00773845" w:rsidRDefault="00773845" w:rsidP="00F70163">
            <w:pPr>
              <w:pStyle w:val="ConsPlusNormal"/>
              <w:spacing w:before="220"/>
              <w:ind w:firstLine="540"/>
              <w:jc w:val="both"/>
            </w:pPr>
            <w:r>
              <w:t xml:space="preserve">Согласно </w:t>
            </w:r>
            <w:hyperlink r:id="rId6" w:history="1">
              <w:r>
                <w:rPr>
                  <w:color w:val="0000FF"/>
                </w:rPr>
                <w:t>статье 256</w:t>
              </w:r>
            </w:hyperlink>
            <w:r>
              <w:t xml:space="preserve"> ТК по заявлению женщины ей предоставляется отпуск по уходу за ребенком до достижения им возраста трех лет. Отпуска по уходу за ребенком могут быть использованы полностью или по частям также отцом ребенка, бабушкой, дедом, другим родственником или опекуном, фактически осуществляющим уход за ребенком. По заявлению женщины или лиц, указанных в </w:t>
            </w:r>
            <w:hyperlink r:id="rId7" w:history="1">
              <w:r>
                <w:rPr>
                  <w:color w:val="0000FF"/>
                </w:rPr>
                <w:t>части второй статьи 256</w:t>
              </w:r>
            </w:hyperlink>
            <w:r>
              <w:t xml:space="preserve"> ТК, во время нахождения в отпусках по уходу за ребенком они могут работать на условиях неполного рабочего времени или на дому с сохранением права на получение пособия по государственному социальному страхованию.</w:t>
            </w:r>
          </w:p>
          <w:p w:rsidR="00773845" w:rsidRDefault="00773845" w:rsidP="00F70163">
            <w:pPr>
              <w:pStyle w:val="ConsPlusNormal"/>
              <w:spacing w:before="220"/>
              <w:ind w:firstLine="540"/>
              <w:jc w:val="both"/>
            </w:pPr>
            <w:hyperlink r:id="rId8" w:history="1">
              <w:r>
                <w:rPr>
                  <w:color w:val="0000FF"/>
                </w:rPr>
                <w:t>Статьей 93</w:t>
              </w:r>
            </w:hyperlink>
            <w:r>
              <w:t xml:space="preserve"> ТК установлено, что 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 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 </w:t>
            </w:r>
          </w:p>
          <w:p w:rsidR="00773845" w:rsidRDefault="00773845" w:rsidP="00F70163">
            <w:pPr>
              <w:pStyle w:val="ConsPlusNormal"/>
              <w:spacing w:before="220"/>
              <w:ind w:firstLine="540"/>
              <w:jc w:val="both"/>
            </w:pPr>
            <w:r>
              <w:t xml:space="preserve">Исчисление стажа работы, дающего право на ежегодные оплачиваемые отпуска, производится в порядке </w:t>
            </w:r>
            <w:hyperlink r:id="rId9" w:history="1">
              <w:r>
                <w:rPr>
                  <w:color w:val="0000FF"/>
                </w:rPr>
                <w:t>статьи 121</w:t>
              </w:r>
            </w:hyperlink>
            <w:r>
              <w:t xml:space="preserve"> ТК. Так, согласно вышеуказанной </w:t>
            </w:r>
            <w:hyperlink r:id="rId10" w:history="1">
              <w:r>
                <w:rPr>
                  <w:color w:val="0000FF"/>
                </w:rPr>
                <w:t>статье</w:t>
              </w:r>
            </w:hyperlink>
            <w:r>
              <w:t xml:space="preserve"> в стаж работы, дающий право на ежегодный основной оплачиваемый отпуск, включается в том числе время фактической работы. Таким образом, время работы на условиях неполного рабочего времени во время нахождения в отпуске по уходу за ребенком включается в стаж работы, дающий право на ежегодный оплачиваемый отпуск.</w:t>
            </w:r>
          </w:p>
          <w:p w:rsidR="00773845" w:rsidRDefault="00773845" w:rsidP="00F70163">
            <w:pPr>
              <w:pStyle w:val="ConsPlusNormal"/>
              <w:spacing w:before="220"/>
              <w:ind w:firstLine="540"/>
              <w:jc w:val="both"/>
            </w:pPr>
            <w:r>
              <w:t xml:space="preserve">Условия и порядок предоставления ежегодных оплачиваемых отпусков работникам, работающим по трудовому договору в соответствии с Кодексом, регулируются </w:t>
            </w:r>
            <w:hyperlink r:id="rId11" w:history="1">
              <w:r>
                <w:rPr>
                  <w:color w:val="0000FF"/>
                </w:rPr>
                <w:t>главой 19</w:t>
              </w:r>
            </w:hyperlink>
            <w:r>
              <w:t xml:space="preserve"> ТК.</w:t>
            </w:r>
          </w:p>
          <w:p w:rsidR="00773845" w:rsidRDefault="00773845" w:rsidP="00F70163">
            <w:pPr>
              <w:pStyle w:val="ConsPlusNormal"/>
              <w:spacing w:before="220"/>
              <w:ind w:firstLine="540"/>
              <w:jc w:val="both"/>
            </w:pPr>
            <w:r>
              <w:t xml:space="preserve">В соответствии с </w:t>
            </w:r>
            <w:hyperlink r:id="rId12" w:history="1">
              <w:r>
                <w:rPr>
                  <w:color w:val="0000FF"/>
                </w:rPr>
                <w:t>частью 1 статьи 115</w:t>
              </w:r>
            </w:hyperlink>
            <w:r>
              <w:t xml:space="preserve"> ТК работникам предоставляется ежегодный основной оплачиваемый отпуск продолжительностью 28 календарных дней.</w:t>
            </w:r>
          </w:p>
          <w:p w:rsidR="00773845" w:rsidRPr="00EA6464" w:rsidRDefault="00773845" w:rsidP="00F70163">
            <w:pPr>
              <w:pStyle w:val="ConsPlusNormal"/>
              <w:spacing w:before="220"/>
              <w:ind w:firstLine="540"/>
              <w:jc w:val="both"/>
            </w:pPr>
            <w:r>
              <w:t xml:space="preserve">На основании </w:t>
            </w:r>
            <w:hyperlink r:id="rId13" w:history="1">
              <w:r>
                <w:rPr>
                  <w:color w:val="0000FF"/>
                </w:rPr>
                <w:t>статьи 122</w:t>
              </w:r>
            </w:hyperlink>
            <w:r>
              <w:t xml:space="preserve"> ТК оплачиваемый отпуск должен предоставляться работнику ежегодно, т.е. в каждом рабочем году. Рабочий год составляет 12 полных месяцев и в отличие от календарного года исчисляется не с 1 января, а со дня поступления работника на работу к конкретному работодателю. Данное правило было заложено более 70 лет назад в </w:t>
            </w:r>
            <w:hyperlink r:id="rId14" w:history="1">
              <w:r>
                <w:rPr>
                  <w:color w:val="0000FF"/>
                </w:rPr>
                <w:t>Правилах</w:t>
              </w:r>
            </w:hyperlink>
            <w:r>
              <w:t xml:space="preserve"> об очередных и дополнительных отпусках, утвержденных НКТ СССР от 30 апреля 1930 г., действующих в настоящее время в части, не противоречащей ТК. В случае если какие-либо периоды времени в соответствии с </w:t>
            </w:r>
            <w:hyperlink r:id="rId15" w:history="1">
              <w:r>
                <w:rPr>
                  <w:color w:val="0000FF"/>
                </w:rPr>
                <w:t>частью 2 статьи 121</w:t>
              </w:r>
            </w:hyperlink>
            <w:r>
              <w:t xml:space="preserve"> ТК не включаются в стаж работы для отпуска, то окончание рабочего года "отодвигается" на число дней отсутствия работника, исключенных из стажа работы для отпуска. </w:t>
            </w:r>
            <w:r w:rsidRPr="00EA6464">
              <w:rPr>
                <w:szCs w:val="22"/>
              </w:rPr>
              <w:t xml:space="preserve">Право на использование отпуска за первый год работы возникает у работника по истечении шести месяцев его непрерывной </w:t>
            </w:r>
            <w:r w:rsidRPr="00EA6464">
              <w:rPr>
                <w:szCs w:val="22"/>
              </w:rPr>
              <w:lastRenderedPageBreak/>
              <w:t>работы в данной организации.</w:t>
            </w:r>
          </w:p>
          <w:p w:rsidR="00773845" w:rsidRPr="00EA6464" w:rsidRDefault="00773845" w:rsidP="00F70163">
            <w:pPr>
              <w:pStyle w:val="ConsPlusNormal"/>
              <w:spacing w:before="220"/>
              <w:ind w:firstLine="540"/>
              <w:jc w:val="both"/>
              <w:rPr>
                <w:szCs w:val="22"/>
              </w:rPr>
            </w:pPr>
            <w:r w:rsidRPr="00EA6464">
              <w:rPr>
                <w:szCs w:val="22"/>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данной организации (</w:t>
            </w:r>
            <w:hyperlink r:id="rId16" w:history="1">
              <w:r w:rsidRPr="00EA6464">
                <w:rPr>
                  <w:color w:val="0000FF"/>
                  <w:szCs w:val="22"/>
                </w:rPr>
                <w:t>часть 4 статьи 122</w:t>
              </w:r>
            </w:hyperlink>
            <w:r w:rsidRPr="00EA6464">
              <w:rPr>
                <w:szCs w:val="22"/>
              </w:rPr>
              <w:t xml:space="preserve"> ТК).</w:t>
            </w:r>
          </w:p>
          <w:p w:rsidR="00773845" w:rsidRPr="00EA6464" w:rsidRDefault="00773845" w:rsidP="00F70163">
            <w:pPr>
              <w:pStyle w:val="ConsPlusNormal"/>
              <w:spacing w:before="220"/>
              <w:ind w:firstLine="540"/>
              <w:jc w:val="both"/>
              <w:rPr>
                <w:szCs w:val="22"/>
              </w:rPr>
            </w:pPr>
            <w:r w:rsidRPr="00EA6464">
              <w:rPr>
                <w:szCs w:val="22"/>
              </w:rPr>
              <w:t>Следует учитывать, что отпуск не должен начинаться раньше, чем рабочий год, за который он предоставляется, окончание отпуска может приходиться на следующий рабочий год.</w:t>
            </w:r>
          </w:p>
          <w:p w:rsidR="00773845" w:rsidRPr="00EA6464" w:rsidRDefault="00773845" w:rsidP="00F70163">
            <w:pPr>
              <w:pStyle w:val="ConsPlusNormal"/>
              <w:spacing w:before="220"/>
              <w:ind w:firstLine="540"/>
              <w:jc w:val="both"/>
              <w:rPr>
                <w:szCs w:val="22"/>
              </w:rPr>
            </w:pPr>
            <w:r w:rsidRPr="00EA6464">
              <w:rPr>
                <w:szCs w:val="22"/>
              </w:rPr>
              <w:t xml:space="preserve">Согласно </w:t>
            </w:r>
            <w:hyperlink r:id="rId17" w:history="1">
              <w:r w:rsidRPr="00EA6464">
                <w:rPr>
                  <w:color w:val="0000FF"/>
                  <w:szCs w:val="22"/>
                </w:rPr>
                <w:t>статье 123</w:t>
              </w:r>
            </w:hyperlink>
            <w:r w:rsidRPr="00EA6464">
              <w:rPr>
                <w:szCs w:val="22"/>
              </w:rPr>
              <w:t xml:space="preserve"> ТК очередность предоставления оплачиваемых отпусков определяется в соответствии с графиком отпусков, утверждаемым работодателем с учетом мнения выборного органа первичной профсоюзной организации.</w:t>
            </w:r>
            <w:r>
              <w:rPr>
                <w:szCs w:val="22"/>
              </w:rPr>
              <w:t xml:space="preserve"> </w:t>
            </w:r>
            <w:r w:rsidRPr="00EA6464">
              <w:rPr>
                <w:szCs w:val="22"/>
              </w:rPr>
              <w:t>График отпусков обязателен как для работника, так и для работодателя.</w:t>
            </w:r>
          </w:p>
          <w:p w:rsidR="00773845" w:rsidRPr="00EA6464" w:rsidRDefault="00773845" w:rsidP="00F70163">
            <w:pPr>
              <w:pStyle w:val="ConsPlusNormal"/>
              <w:spacing w:before="220"/>
              <w:ind w:firstLine="540"/>
              <w:jc w:val="both"/>
              <w:rPr>
                <w:szCs w:val="22"/>
              </w:rPr>
            </w:pPr>
            <w:r w:rsidRPr="00EA6464">
              <w:rPr>
                <w:szCs w:val="22"/>
              </w:rPr>
              <w:t>Следует иметь в виду, что ТК не предусматривает предоставления в натуре неполного ежегодного оплачиваемого отпуска, т.е. пропорционально отработанному в данном рабочем году времени.</w:t>
            </w:r>
            <w:r>
              <w:rPr>
                <w:szCs w:val="22"/>
              </w:rPr>
              <w:t xml:space="preserve"> </w:t>
            </w:r>
            <w:r w:rsidRPr="00EA6464">
              <w:rPr>
                <w:szCs w:val="22"/>
              </w:rPr>
              <w:t>В связи с этим отпуск, независимо от времени, проработанного в рабочем году, предоставляется полным, т.е. установленной продолжительности.</w:t>
            </w:r>
          </w:p>
          <w:p w:rsidR="00773845" w:rsidRPr="00EA6464" w:rsidRDefault="00773845" w:rsidP="00F70163">
            <w:pPr>
              <w:pStyle w:val="ConsPlusNormal"/>
              <w:spacing w:before="220"/>
              <w:ind w:firstLine="540"/>
              <w:jc w:val="both"/>
              <w:rPr>
                <w:szCs w:val="22"/>
              </w:rPr>
            </w:pPr>
            <w:r w:rsidRPr="00EA6464">
              <w:rPr>
                <w:szCs w:val="22"/>
              </w:rPr>
              <w:t>Вместе с тем следует отметить, что нахождение работника одновременно в двух отпусках, предоставляемых по разным основаниям, законодательством не предусмотрено. В этой связи для того, чтобы работник смог воспользоваться своим правом на ежегодный или дополнительный отпуск, ему следует прервать отпуск по уходу за ребенком. Прерванный отпуск впоследствии может быть возобновлен.</w:t>
            </w:r>
          </w:p>
          <w:p w:rsidR="00773845" w:rsidRDefault="00773845" w:rsidP="00F70163">
            <w:pPr>
              <w:pStyle w:val="ConsPlusNormal"/>
              <w:jc w:val="both"/>
              <w:rPr>
                <w:sz w:val="28"/>
                <w:szCs w:val="28"/>
                <w:lang w:eastAsia="en-US"/>
              </w:rPr>
            </w:pPr>
          </w:p>
        </w:tc>
      </w:tr>
      <w:tr w:rsidR="00773845" w:rsidTr="00F70163">
        <w:tc>
          <w:tcPr>
            <w:tcW w:w="11312" w:type="dxa"/>
            <w:tcBorders>
              <w:top w:val="single" w:sz="4" w:space="0" w:color="auto"/>
              <w:left w:val="single" w:sz="4" w:space="0" w:color="auto"/>
              <w:bottom w:val="single" w:sz="4" w:space="0" w:color="auto"/>
              <w:right w:val="single" w:sz="4" w:space="0" w:color="auto"/>
            </w:tcBorders>
          </w:tcPr>
          <w:p w:rsidR="00773845" w:rsidRDefault="00773845" w:rsidP="00F70163">
            <w:pPr>
              <w:pStyle w:val="ConsPlusNormal"/>
              <w:jc w:val="both"/>
              <w:rPr>
                <w:sz w:val="28"/>
                <w:szCs w:val="28"/>
                <w:lang w:eastAsia="en-US"/>
              </w:rPr>
            </w:pPr>
          </w:p>
        </w:tc>
      </w:tr>
      <w:tr w:rsidR="00773845" w:rsidTr="00F70163">
        <w:tc>
          <w:tcPr>
            <w:tcW w:w="11312" w:type="dxa"/>
            <w:tcBorders>
              <w:top w:val="single" w:sz="4" w:space="0" w:color="auto"/>
              <w:left w:val="single" w:sz="4" w:space="0" w:color="auto"/>
              <w:bottom w:val="single" w:sz="4" w:space="0" w:color="auto"/>
              <w:right w:val="single" w:sz="4" w:space="0" w:color="auto"/>
            </w:tcBorders>
          </w:tcPr>
          <w:p w:rsidR="00773845" w:rsidRDefault="00773845" w:rsidP="00F70163">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8"/>
                <w:szCs w:val="18"/>
              </w:rPr>
            </w:pPr>
            <w:r>
              <w:rPr>
                <w:rFonts w:ascii="Arial" w:hAnsi="Arial" w:cs="Arial"/>
                <w:b/>
                <w:bCs/>
                <w:sz w:val="18"/>
                <w:szCs w:val="18"/>
              </w:rPr>
              <w:t>Калужская областная организация Профсоюза работников народного образования и науки РФ</w:t>
            </w:r>
          </w:p>
          <w:p w:rsidR="00773845" w:rsidRDefault="00773845" w:rsidP="00F70163">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8"/>
                <w:szCs w:val="18"/>
              </w:rPr>
            </w:pPr>
            <w:r>
              <w:rPr>
                <w:rFonts w:ascii="Arial" w:hAnsi="Arial" w:cs="Arial"/>
                <w:b/>
                <w:bCs/>
                <w:sz w:val="18"/>
                <w:szCs w:val="18"/>
              </w:rPr>
              <w:t xml:space="preserve"> </w:t>
            </w:r>
            <w:proofErr w:type="spellStart"/>
            <w:r>
              <w:rPr>
                <w:rFonts w:ascii="Arial" w:hAnsi="Arial" w:cs="Arial"/>
                <w:b/>
                <w:bCs/>
                <w:sz w:val="18"/>
                <w:szCs w:val="18"/>
              </w:rPr>
              <w:t>Тел.факс</w:t>
            </w:r>
            <w:proofErr w:type="spellEnd"/>
            <w:r>
              <w:rPr>
                <w:rFonts w:ascii="Arial" w:hAnsi="Arial" w:cs="Arial"/>
                <w:b/>
                <w:bCs/>
                <w:sz w:val="18"/>
                <w:szCs w:val="18"/>
              </w:rPr>
              <w:t>: 57-64-</w:t>
            </w:r>
            <w:proofErr w:type="gramStart"/>
            <w:r>
              <w:rPr>
                <w:rFonts w:ascii="Arial" w:hAnsi="Arial" w:cs="Arial"/>
                <w:b/>
                <w:bCs/>
                <w:sz w:val="18"/>
                <w:szCs w:val="18"/>
              </w:rPr>
              <w:t xml:space="preserve">69,  </w:t>
            </w:r>
            <w:proofErr w:type="spellStart"/>
            <w:r>
              <w:rPr>
                <w:rFonts w:ascii="Arial" w:hAnsi="Arial" w:cs="Arial"/>
                <w:b/>
                <w:bCs/>
                <w:sz w:val="18"/>
                <w:szCs w:val="18"/>
                <w:lang w:val="en-US"/>
              </w:rPr>
              <w:t>prokaluga</w:t>
            </w:r>
            <w:proofErr w:type="spellEnd"/>
            <w:r>
              <w:rPr>
                <w:rFonts w:ascii="Arial" w:hAnsi="Arial" w:cs="Arial"/>
                <w:b/>
                <w:bCs/>
                <w:sz w:val="18"/>
                <w:szCs w:val="18"/>
              </w:rPr>
              <w:t>@</w:t>
            </w:r>
            <w:r>
              <w:rPr>
                <w:rFonts w:ascii="Arial" w:hAnsi="Arial" w:cs="Arial"/>
                <w:b/>
                <w:bCs/>
                <w:sz w:val="18"/>
                <w:szCs w:val="18"/>
                <w:lang w:val="en-US"/>
              </w:rPr>
              <w:t>mail</w:t>
            </w:r>
            <w:r>
              <w:rPr>
                <w:rFonts w:ascii="Arial" w:hAnsi="Arial" w:cs="Arial"/>
                <w:b/>
                <w:bCs/>
                <w:sz w:val="18"/>
                <w:szCs w:val="18"/>
              </w:rPr>
              <w:t>.</w:t>
            </w:r>
            <w:proofErr w:type="spellStart"/>
            <w:r>
              <w:rPr>
                <w:rFonts w:ascii="Arial" w:hAnsi="Arial" w:cs="Arial"/>
                <w:b/>
                <w:bCs/>
                <w:sz w:val="18"/>
                <w:szCs w:val="18"/>
                <w:lang w:val="en-US"/>
              </w:rPr>
              <w:t>ru</w:t>
            </w:r>
            <w:proofErr w:type="spellEnd"/>
            <w:proofErr w:type="gramEnd"/>
          </w:p>
          <w:p w:rsidR="00773845" w:rsidRDefault="00773845" w:rsidP="00F70163">
            <w:pPr>
              <w:pBdr>
                <w:top w:val="single" w:sz="4" w:space="1" w:color="auto"/>
                <w:left w:val="single" w:sz="4" w:space="4" w:color="auto"/>
                <w:bottom w:val="single" w:sz="4" w:space="1" w:color="auto"/>
                <w:right w:val="single" w:sz="4" w:space="4" w:color="auto"/>
              </w:pBdr>
              <w:tabs>
                <w:tab w:val="left" w:pos="6030"/>
              </w:tabs>
              <w:jc w:val="center"/>
              <w:rPr>
                <w:rFonts w:ascii="Arial" w:hAnsi="Arial" w:cs="Arial"/>
                <w:b/>
                <w:sz w:val="18"/>
                <w:szCs w:val="18"/>
              </w:rPr>
            </w:pPr>
            <w:r>
              <w:rPr>
                <w:rFonts w:ascii="Arial" w:hAnsi="Arial" w:cs="Arial"/>
                <w:b/>
                <w:sz w:val="18"/>
                <w:szCs w:val="18"/>
              </w:rPr>
              <w:t>Калуга, май, 2019</w:t>
            </w:r>
          </w:p>
          <w:p w:rsidR="00773845" w:rsidRDefault="00773845" w:rsidP="00F70163">
            <w:pPr>
              <w:pBdr>
                <w:top w:val="single" w:sz="4" w:space="1" w:color="auto"/>
                <w:left w:val="single" w:sz="4" w:space="4" w:color="auto"/>
                <w:bottom w:val="single" w:sz="4" w:space="1" w:color="auto"/>
                <w:right w:val="single" w:sz="4" w:space="4" w:color="auto"/>
              </w:pBdr>
              <w:tabs>
                <w:tab w:val="left" w:pos="6030"/>
              </w:tabs>
              <w:jc w:val="center"/>
              <w:rPr>
                <w:sz w:val="28"/>
                <w:szCs w:val="28"/>
              </w:rPr>
            </w:pPr>
          </w:p>
        </w:tc>
      </w:tr>
    </w:tbl>
    <w:p w:rsidR="00773845" w:rsidRDefault="00773845" w:rsidP="00773845"/>
    <w:p w:rsidR="00773845" w:rsidRDefault="00773845" w:rsidP="00773845">
      <w:pPr>
        <w:ind w:left="-851"/>
      </w:pPr>
    </w:p>
    <w:p w:rsidR="00815C8C" w:rsidRDefault="00815C8C">
      <w:bookmarkStart w:id="0" w:name="_GoBack"/>
      <w:bookmarkEnd w:id="0"/>
    </w:p>
    <w:sectPr w:rsidR="00815C8C" w:rsidSect="005D506E">
      <w:pgSz w:w="11906" w:h="16838"/>
      <w:pgMar w:top="426"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845"/>
    <w:rsid w:val="00773845"/>
    <w:rsid w:val="00815C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81A0E7-9511-4256-A311-26407EB1F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384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7384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73845"/>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773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CA8C3B83FD60EA7C4D05BA59EBEF23910C116D04325619C64B16781AA116B4A20EC31D27E0A351CD15535A46F4E3E5EE90BDBB1C92A3C91s3UEN" TargetMode="External"/><Relationship Id="rId13" Type="http://schemas.openxmlformats.org/officeDocument/2006/relationships/hyperlink" Target="consultantplus://offline/ref=0CA8C3B83FD60EA7C4D05BA59EBEF23910C116D04325619C64B16781AA116B4A20EC31D27E0A3B17D45535A46F4E3E5EE90BDBB1C92A3C91s3UEN"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0CA8C3B83FD60EA7C4D05BA59EBEF23910C116D04325619C64B16781AA116B4A20EC31D27E0B3515D25535A46F4E3E5EE90BDBB1C92A3C91s3UEN" TargetMode="External"/><Relationship Id="rId12" Type="http://schemas.openxmlformats.org/officeDocument/2006/relationships/hyperlink" Target="consultantplus://offline/ref=0CA8C3B83FD60EA7C4D05BA59EBEF23910C116D04325619C64B16781AA116B4A20EC31D27E0A3B14D55535A46F4E3E5EE90BDBB1C92A3C91s3UEN" TargetMode="External"/><Relationship Id="rId17" Type="http://schemas.openxmlformats.org/officeDocument/2006/relationships/hyperlink" Target="consultantplus://offline/ref=0CA8C3B83FD60EA7C4D05BA59EBEF23910C116D04325619C64B16781AA116B4A20EC31D27E0A3B10D65535A46F4E3E5EE90BDBB1C92A3C91s3UEN" TargetMode="External"/><Relationship Id="rId2" Type="http://schemas.openxmlformats.org/officeDocument/2006/relationships/settings" Target="settings.xml"/><Relationship Id="rId16" Type="http://schemas.openxmlformats.org/officeDocument/2006/relationships/hyperlink" Target="consultantplus://offline/ref=0CA8C3B83FD60EA7C4D05BA59EBEF23910C116D04325619C64B16781AA116B4A20EC31D57C093840871A34F82B1D2D5EEA0BD9B4D6s2U1N" TargetMode="External"/><Relationship Id="rId1" Type="http://schemas.openxmlformats.org/officeDocument/2006/relationships/styles" Target="styles.xml"/><Relationship Id="rId6" Type="http://schemas.openxmlformats.org/officeDocument/2006/relationships/hyperlink" Target="consultantplus://offline/ref=0CA8C3B83FD60EA7C4D05BA59EBEF23910C116D04325619C64B16781AA116B4A20EC31D27E0B3515D45535A46F4E3E5EE90BDBB1C92A3C91s3UEN" TargetMode="External"/><Relationship Id="rId11" Type="http://schemas.openxmlformats.org/officeDocument/2006/relationships/hyperlink" Target="consultantplus://offline/ref=0CA8C3B83FD60EA7C4D05BA59EBEF23910C116D04325619C64B16781AA116B4A20EC31D27E0A341DDF5535A46F4E3E5EE90BDBB1C92A3C91s3UEN" TargetMode="External"/><Relationship Id="rId5" Type="http://schemas.openxmlformats.org/officeDocument/2006/relationships/hyperlink" Target="consultantplus://offline/ref=0CA8C3B83FD60EA7C4D05BA59EBEF23910C116D04325619C64B16781AA116B4A20EC31D27E0B361DDF5535A46F4E3E5EE90BDBB1C92A3C91s3UEN" TargetMode="External"/><Relationship Id="rId15" Type="http://schemas.openxmlformats.org/officeDocument/2006/relationships/hyperlink" Target="consultantplus://offline/ref=0CA8C3B83FD60EA7C4D05BA59EBEF23910C116D04325619C64B16781AA116B4A20EC31D27E0A3B16D05535A46F4E3E5EE90BDBB1C92A3C91s3UEN" TargetMode="External"/><Relationship Id="rId10" Type="http://schemas.openxmlformats.org/officeDocument/2006/relationships/hyperlink" Target="consultantplus://offline/ref=0CA8C3B83FD60EA7C4D05BA59EBEF23910C116D04325619C64B16781AA116B4A20EC31D57F0D3840871A34F82B1D2D5EEA0BD9B4D6s2U1N" TargetMode="External"/><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consultantplus://offline/ref=0CA8C3B83FD60EA7C4D05BA59EBEF23910C116D04325619C64B16781AA116B4A20EC31D57F0F3840871A34F82B1D2D5EEA0BD9B4D6s2U1N" TargetMode="External"/><Relationship Id="rId14" Type="http://schemas.openxmlformats.org/officeDocument/2006/relationships/hyperlink" Target="consultantplus://offline/ref=0CA8C3B83FD60EA7C4D05BA59EBEF23912C11ED84229619C64B16781AA116B4A32EC69DE7E0C2D14D34063F52As1U2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988</Words>
  <Characters>5634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2019-05-07T05:50:00Z</dcterms:created>
  <dcterms:modified xsi:type="dcterms:W3CDTF">2019-05-07T05:50:00Z</dcterms:modified>
</cp:coreProperties>
</file>