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797C97" w:rsidTr="0031125A">
        <w:trPr>
          <w:trHeight w:val="3251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7" w:rsidRDefault="00797C97" w:rsidP="00364CB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97C97" w:rsidTr="00364CB7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C97" w:rsidRDefault="00797C97" w:rsidP="00364CB7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6F46EF99" wp14:editId="0F62AC55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C97" w:rsidRPr="00797C97" w:rsidRDefault="00797C97" w:rsidP="00797C9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797C97" w:rsidRDefault="00797C97" w:rsidP="00364CB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97C97" w:rsidRPr="00797C97" w:rsidRDefault="00797C97" w:rsidP="00797C9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797C97" w:rsidRDefault="00797C97" w:rsidP="00364CB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№31.</w:t>
                  </w:r>
                </w:p>
                <w:p w:rsidR="00797C97" w:rsidRPr="0031125A" w:rsidRDefault="00797C97" w:rsidP="0031125A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Оплата командировочных.</w:t>
                  </w:r>
                </w:p>
              </w:tc>
            </w:tr>
          </w:tbl>
          <w:p w:rsidR="00797C97" w:rsidRDefault="00797C97" w:rsidP="00364CB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97C97" w:rsidTr="00364CB7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7" w:rsidRPr="00797C97" w:rsidRDefault="00797C97" w:rsidP="00364CB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97C97">
              <w:rPr>
                <w:rFonts w:ascii="Verdana" w:hAnsi="Verdana"/>
                <w:b/>
                <w:bCs/>
                <w:sz w:val="20"/>
                <w:szCs w:val="20"/>
              </w:rPr>
              <w:t>Как правильно оплатить сотруднику в командировке работу в выходной или праздник?</w:t>
            </w:r>
          </w:p>
          <w:p w:rsidR="00797C97" w:rsidRPr="00797C97" w:rsidRDefault="00797C97" w:rsidP="00364CB7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797C97" w:rsidRPr="00797C97" w:rsidRDefault="00797C97" w:rsidP="00364CB7">
            <w:pPr>
              <w:shd w:val="clear" w:color="auto" w:fill="D9D9D9"/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Fonts w:ascii="Verdana" w:hAnsi="Verdana"/>
                <w:b/>
                <w:bCs/>
                <w:color w:val="000000"/>
                <w:sz w:val="20"/>
                <w:szCs w:val="20"/>
                <w:u w:val="single"/>
              </w:rPr>
              <w:t>Риски</w:t>
            </w:r>
            <w:r w:rsidRPr="00797C97">
              <w:rPr>
                <w:rFonts w:ascii="Verdana" w:hAnsi="Verdana"/>
                <w:color w:val="000000"/>
                <w:sz w:val="20"/>
                <w:szCs w:val="20"/>
              </w:rPr>
              <w:t>: в</w:t>
            </w:r>
            <w:r w:rsidRPr="00797C97">
              <w:rPr>
                <w:rFonts w:ascii="Verdana" w:hAnsi="Verdana"/>
                <w:sz w:val="20"/>
                <w:szCs w:val="20"/>
              </w:rPr>
              <w:t>ыходной или праздник, когда командированный работал, был в пути, выехал в командировку или вернулся, оплачивается как работа в выходные или нерабочие праздничные дни, а не из его среднего заработка</w:t>
            </w:r>
            <w:r w:rsidRPr="00797C97">
              <w:rPr>
                <w:rFonts w:ascii="Verdana" w:hAnsi="Verdana"/>
                <w:i/>
                <w:iCs/>
                <w:sz w:val="20"/>
                <w:szCs w:val="20"/>
              </w:rPr>
              <w:t>.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Fonts w:ascii="Verdana" w:hAnsi="Verdana"/>
                <w:sz w:val="20"/>
                <w:szCs w:val="20"/>
              </w:rPr>
              <w:t xml:space="preserve">Минтруд России в </w:t>
            </w:r>
            <w:hyperlink r:id="rId5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Письме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от 09.07.2019 N 14-2/В-527 напомнил, что оплата труда командированного сотрудника, который работает в выходные или праздничные дни, производится по правилам </w:t>
            </w:r>
            <w:hyperlink r:id="rId6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ст. 153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ТК РФ (</w:t>
            </w:r>
            <w:hyperlink r:id="rId7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п. 5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Положения, утв. Постановлением Правительства РФ от 13.10.2008 N 749). Каждый час работы в выходной или нерабочий праздничный день в командировке оплачивается не менее чем в двойном размере либо в одинарном, но с </w:t>
            </w:r>
            <w:hyperlink r:id="rId8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отгулом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. При этом оплата за выходной или праздничный день </w:t>
            </w:r>
            <w:hyperlink r:id="rId9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рассчитывается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исходя из той </w:t>
            </w:r>
            <w:hyperlink r:id="rId10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системы оплаты труда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>, которая установлена работнику: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Style w:val="risks"/>
                <w:rFonts w:ascii="Verdana" w:hAnsi="Verdana"/>
                <w:b/>
                <w:bCs/>
                <w:color w:val="1F497D"/>
                <w:sz w:val="20"/>
                <w:szCs w:val="20"/>
              </w:rPr>
              <w:t>–</w:t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 сдельщикам </w:t>
            </w:r>
            <w:r w:rsidRPr="00797C97">
              <w:rPr>
                <w:rStyle w:val="risks"/>
                <w:rFonts w:ascii="Verdana" w:hAnsi="Verdana"/>
                <w:b/>
                <w:bCs/>
                <w:color w:val="1F497D"/>
                <w:sz w:val="20"/>
                <w:szCs w:val="20"/>
              </w:rPr>
              <w:t>–</w:t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 не менее чем по двойным сдельным расценкам;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Style w:val="risks"/>
                <w:rFonts w:ascii="Verdana" w:hAnsi="Verdana"/>
                <w:b/>
                <w:bCs/>
                <w:color w:val="1F497D"/>
                <w:sz w:val="20"/>
                <w:szCs w:val="20"/>
              </w:rPr>
              <w:t>–</w:t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 работникам, труд которых оплачивается по дневным и часовым ставкам, - в размере не менее двойной дневной или часовой ставки;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Style w:val="risks"/>
                <w:rFonts w:ascii="Verdana" w:hAnsi="Verdana"/>
                <w:b/>
                <w:bCs/>
                <w:color w:val="1F497D"/>
                <w:sz w:val="20"/>
                <w:szCs w:val="20"/>
              </w:rPr>
              <w:t>–</w:t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 работникам, получающим оклад, </w:t>
            </w:r>
            <w:r w:rsidRPr="00797C97">
              <w:rPr>
                <w:rStyle w:val="risks"/>
                <w:rFonts w:ascii="Verdana" w:hAnsi="Verdana"/>
                <w:b/>
                <w:bCs/>
                <w:color w:val="1F497D"/>
                <w:sz w:val="20"/>
                <w:szCs w:val="20"/>
              </w:rPr>
              <w:t>–</w:t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 в размере не менее одинарной дневной или часовой ставки (части оклада за день или час работы), если выходной день находится в пределах месячной нормы рабочего времени. Если выходной день вне месячной нормы, то он должен быть оплачен в размере не менее двойной часовой или дневной ставки сверх оклада.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Fonts w:ascii="Verdana" w:hAnsi="Verdana"/>
                <w:sz w:val="20"/>
                <w:szCs w:val="20"/>
              </w:rPr>
              <w:t>Коллективным, трудовым договором или локальным нормативным актом работодателя может быть установлен больший размер оплаты.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97C97">
              <w:rPr>
                <w:rFonts w:ascii="Verdana" w:hAnsi="Verdana"/>
                <w:sz w:val="20"/>
                <w:szCs w:val="20"/>
              </w:rPr>
              <w:t>Указанные правила распространяются и на случаи выезда в командировку, возвращения из нее, нахождения в пути (туда и обратно) в нерабочий праздничный день или выходной.</w:t>
            </w:r>
          </w:p>
          <w:p w:rsidR="00797C97" w:rsidRPr="00797C97" w:rsidRDefault="00797C97" w:rsidP="00364CB7">
            <w:pPr>
              <w:pStyle w:val="a5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</w:t>
            </w:r>
            <w:r w:rsidRPr="00797C97">
              <w:rPr>
                <w:rFonts w:ascii="Verdana" w:hAnsi="Verdana"/>
                <w:sz w:val="20"/>
                <w:szCs w:val="20"/>
                <w:lang w:eastAsia="en-US"/>
              </w:rPr>
              <w:t xml:space="preserve">Также Минтруд </w:t>
            </w:r>
            <w:hyperlink r:id="rId11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напомнил</w:t>
              </w:r>
            </w:hyperlink>
            <w:r w:rsidRPr="00797C97">
              <w:rPr>
                <w:rFonts w:ascii="Verdana" w:hAnsi="Verdana"/>
                <w:sz w:val="20"/>
                <w:szCs w:val="20"/>
                <w:lang w:eastAsia="en-US"/>
              </w:rPr>
              <w:t>, что определяя срок выплаты зарплаты, работодатель должен выполнить требования ТК РФ о временных промежутках.</w:t>
            </w:r>
          </w:p>
          <w:p w:rsidR="00797C97" w:rsidRPr="00797C97" w:rsidRDefault="00797C97" w:rsidP="00364CB7">
            <w:pPr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797C97">
              <w:rPr>
                <w:rFonts w:ascii="Verdana" w:hAnsi="Verdana"/>
                <w:b/>
                <w:bCs/>
                <w:sz w:val="20"/>
                <w:szCs w:val="20"/>
              </w:rPr>
              <w:t xml:space="preserve">На заметку: </w:t>
            </w:r>
            <w:r w:rsidRPr="00797C97">
              <w:rPr>
                <w:rFonts w:ascii="Verdana" w:hAnsi="Verdana"/>
                <w:sz w:val="20"/>
                <w:szCs w:val="20"/>
              </w:rPr>
              <w:t>суточные выплачиваются работникам за каждый день в командировке (в том числе, если на такой день приходится день приезда, отъезда или нахождения в пути) и неважно, отдыхал работник в этот день или работал (</w:t>
            </w:r>
            <w:proofErr w:type="spellStart"/>
            <w:r w:rsidRPr="00797C97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797C97">
              <w:rPr>
                <w:rFonts w:ascii="Verdana" w:hAnsi="Verdana"/>
                <w:sz w:val="20"/>
                <w:szCs w:val="20"/>
              </w:rPr>
              <w:instrText xml:space="preserve"> HYPERLINK "consultantplus://offline/ref=F73C05191CC07F8FB72B318673B894CA5495991906CE6863404FFC75E556853F668B51571CB0BD284087B323AD1E7260C39F6199E7DE1DE8PByBK" </w:instrText>
            </w:r>
            <w:r w:rsidRPr="00797C9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7C97">
              <w:rPr>
                <w:rStyle w:val="a4"/>
                <w:rFonts w:ascii="Verdana" w:hAnsi="Verdana"/>
                <w:sz w:val="20"/>
                <w:szCs w:val="20"/>
              </w:rPr>
              <w:t>абз</w:t>
            </w:r>
            <w:proofErr w:type="spellEnd"/>
            <w:r w:rsidRPr="00797C97">
              <w:rPr>
                <w:rStyle w:val="a4"/>
                <w:rFonts w:ascii="Verdana" w:hAnsi="Verdana"/>
                <w:sz w:val="20"/>
                <w:szCs w:val="20"/>
              </w:rPr>
              <w:t>. 3</w:t>
            </w:r>
            <w:r w:rsidRPr="00797C9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7C97">
              <w:rPr>
                <w:rFonts w:ascii="Verdana" w:hAnsi="Verdana"/>
                <w:sz w:val="20"/>
                <w:szCs w:val="20"/>
              </w:rPr>
              <w:t xml:space="preserve">, </w:t>
            </w:r>
            <w:hyperlink r:id="rId12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4 п. 11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Положения о служебных командировках, </w:t>
            </w:r>
            <w:hyperlink r:id="rId13" w:history="1">
              <w:r w:rsidRPr="00797C97">
                <w:rPr>
                  <w:rStyle w:val="a4"/>
                  <w:rFonts w:ascii="Verdana" w:hAnsi="Verdana"/>
                  <w:sz w:val="20"/>
                  <w:szCs w:val="20"/>
                </w:rPr>
                <w:t>Письмо</w:t>
              </w:r>
            </w:hyperlink>
            <w:r w:rsidRPr="00797C97">
              <w:rPr>
                <w:rFonts w:ascii="Verdana" w:hAnsi="Verdana"/>
                <w:sz w:val="20"/>
                <w:szCs w:val="20"/>
              </w:rPr>
              <w:t xml:space="preserve"> Минтруда России от 28.11.2013 N 14-2-242).</w:t>
            </w: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797C97" w:rsidRPr="00797C97" w:rsidRDefault="00797C97" w:rsidP="00364CB7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</w:tr>
      <w:tr w:rsidR="00797C97" w:rsidTr="00364CB7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7" w:rsidRDefault="00797C97" w:rsidP="00364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797C97" w:rsidRDefault="00797C97" w:rsidP="00364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797C97" w:rsidRDefault="00797C97" w:rsidP="00364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Калуга, сентябрь, 2019</w:t>
            </w:r>
          </w:p>
          <w:p w:rsidR="00797C97" w:rsidRDefault="00797C97" w:rsidP="00364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97C97" w:rsidRDefault="00797C97" w:rsidP="00797C97"/>
    <w:p w:rsidR="00797C97" w:rsidRDefault="00797C97" w:rsidP="00797C97">
      <w:pPr>
        <w:ind w:left="-851"/>
      </w:pPr>
    </w:p>
    <w:p w:rsidR="008E599E" w:rsidRDefault="008E599E"/>
    <w:sectPr w:rsidR="008E599E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97"/>
    <w:rsid w:val="0031125A"/>
    <w:rsid w:val="00797C97"/>
    <w:rsid w:val="008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53F3"/>
  <w15:chartTrackingRefBased/>
  <w15:docId w15:val="{F257CC98-CC7E-4018-B2FE-79099C3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9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7C9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isks">
    <w:name w:val="risks"/>
    <w:basedOn w:val="a0"/>
    <w:rsid w:val="0079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50AD12D84C0436B2F73996A49FFCDB911258985188F80FEEC93BDBC33DB6201259C2A4365615669EC511BC0I3O8L" TargetMode="External"/><Relationship Id="rId13" Type="http://schemas.openxmlformats.org/officeDocument/2006/relationships/hyperlink" Target="consultantplus://offline/ref=F73C05191CC07F8FB72B2C9261D0AECC0B909B1D07CD6B32174DAD20EB538D6F2E9B1F1211B1BD2B428DE679BD1A3B37C783688FF9D403EBB265PFy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DB6254A5BE65187F3ADF4A635FFA4AF977AFA2531B77DB6076369D153AC8189A59838CD09429D7A3609E67C5460B0605B1524831D33638G860K" TargetMode="External"/><Relationship Id="rId12" Type="http://schemas.openxmlformats.org/officeDocument/2006/relationships/hyperlink" Target="consultantplus://offline/ref=F73C05191CC07F8FB72B318673B894CA5495991906CE6863404FFC75E556853F668B51571CB0BD284187B323AD1E7260C39F6199E7DE1DE8PBy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123F8900AE508CD699DEA1A48EB38F093B3E73CBD9E00552B2679A5F3E3B5707760ED5899C28124E025366AF17A014483E6FB6AsEaCL" TargetMode="External"/><Relationship Id="rId11" Type="http://schemas.openxmlformats.org/officeDocument/2006/relationships/hyperlink" Target="consultantplus://offline/ref=4B6E005181F9931442DBE9ACD41F69A303E7773C1ED1E4A3B2077D84E225C0D42C55837501E40CBDCFA870C6DE4ACB80F03CE174001FF7C7A929MDXAL" TargetMode="External"/><Relationship Id="rId5" Type="http://schemas.openxmlformats.org/officeDocument/2006/relationships/hyperlink" Target="consultantplus://offline/ref=0DA3AFD0E919D80EDA3493AAED09C2CE45BEC4B073D02BE43C23DEEAAF07F03C4C52A34E278F425FE786F46E731B55CA2B490B53B18CDDCDE46Bx8l4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D3C9F0AB856CA4C8745CE70F5F05D75FB474CF3DB820E2ABA9B98557261F9A56C28C03F21FE4E7E56D0E6B30S0QF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23BED91CBF39F2228CABB1A5AFB321C2DD439E77DBBBBC6392E09254E0F155A7C753685FDD61A370F359A4EB53D590700F83619BB7D07EC241EEFR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2019-09-04T08:55:00Z</dcterms:created>
  <dcterms:modified xsi:type="dcterms:W3CDTF">2019-09-04T08:57:00Z</dcterms:modified>
</cp:coreProperties>
</file>