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CA20AA" w:rsidTr="000B1667">
        <w:trPr>
          <w:trHeight w:val="395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AA" w:rsidRPr="00726C3F" w:rsidRDefault="00CA20AA" w:rsidP="000B1667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2026г. ОБЩЕРОССИЙСКИЙ ПРОФСОЮЗ ОБРАЗОВАНИЯ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CA20AA" w:rsidTr="000B166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0AA" w:rsidRDefault="00CA20AA" w:rsidP="000B166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B40333A" wp14:editId="28F9FA75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90A31CC" wp14:editId="37252A0A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0AA" w:rsidRDefault="00CA20AA" w:rsidP="000B166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A20AA" w:rsidRPr="006355F5" w:rsidRDefault="00CA20AA" w:rsidP="000B166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CA20AA" w:rsidRDefault="00CA20AA" w:rsidP="000B1667">
                  <w:pPr>
                    <w:pStyle w:val="ConsPlusTitle"/>
                    <w:jc w:val="center"/>
                  </w:pPr>
                </w:p>
                <w:p w:rsidR="00CA20AA" w:rsidRPr="00A037AE" w:rsidRDefault="00CA20AA" w:rsidP="000B1667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CA20AA" w:rsidRPr="00A037AE" w:rsidRDefault="00CA20AA" w:rsidP="000B1667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CA20AA" w:rsidRPr="00A037AE" w:rsidRDefault="00CA20AA" w:rsidP="000B1667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38</w:t>
                  </w:r>
                </w:p>
                <w:p w:rsidR="00CA20AA" w:rsidRPr="0080747D" w:rsidRDefault="00CA20AA" w:rsidP="000B1667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CA20AA" w:rsidRPr="00CA20AA" w:rsidRDefault="00CA20AA" w:rsidP="00CA20AA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both"/>
                    <w:rPr>
                      <w:rStyle w:val="s10"/>
                      <w:rFonts w:ascii="PT Serif" w:hAnsi="PT Serif"/>
                      <w:b/>
                      <w:bCs/>
                      <w:color w:val="232222"/>
                    </w:rPr>
                  </w:pPr>
                  <w:r w:rsidRPr="00CA20AA">
                    <w:rPr>
                      <w:rStyle w:val="s10"/>
                      <w:rFonts w:ascii="PT Serif" w:hAnsi="PT Serif"/>
                      <w:b/>
                      <w:bCs/>
                      <w:color w:val="232222"/>
                    </w:rPr>
                    <w:t>Судебная практика</w:t>
                  </w:r>
                  <w:r w:rsidRPr="00CA20AA">
                    <w:rPr>
                      <w:rStyle w:val="s10"/>
                      <w:rFonts w:ascii="PT Serif" w:hAnsi="PT Serif"/>
                      <w:b/>
                      <w:bCs/>
                      <w:color w:val="232222"/>
                    </w:rPr>
                    <w:t xml:space="preserve">: нельзя сначала объявить </w:t>
                  </w:r>
                </w:p>
                <w:p w:rsidR="00CA20AA" w:rsidRPr="00CA20AA" w:rsidRDefault="00CA20AA" w:rsidP="00CA20AA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both"/>
                    <w:rPr>
                      <w:rFonts w:ascii="PT Serif" w:hAnsi="PT Serif"/>
                      <w:color w:val="232222"/>
                    </w:rPr>
                  </w:pPr>
                  <w:r w:rsidRPr="00CA20AA">
                    <w:rPr>
                      <w:rStyle w:val="s10"/>
                      <w:rFonts w:ascii="PT Serif" w:hAnsi="PT Serif"/>
                      <w:b/>
                      <w:bCs/>
                      <w:color w:val="232222"/>
                    </w:rPr>
                    <w:t>выговор, а потом уволить за тот же проступок</w:t>
                  </w:r>
                </w:p>
                <w:p w:rsidR="00CA20AA" w:rsidRPr="00F845FA" w:rsidRDefault="00CA20AA" w:rsidP="00CA20AA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CA20AA" w:rsidRDefault="00CA20AA" w:rsidP="000B166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A20AA" w:rsidTr="000B1667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AA" w:rsidRPr="00CA20AA" w:rsidRDefault="00CA20AA" w:rsidP="00CA20AA">
            <w:pPr>
              <w:pStyle w:val="s74"/>
              <w:shd w:val="clear" w:color="auto" w:fill="F5EFDF"/>
              <w:spacing w:before="240" w:beforeAutospacing="0" w:after="240" w:afterAutospacing="0"/>
              <w:jc w:val="both"/>
              <w:rPr>
                <w:rFonts w:ascii="PT Serif" w:hAnsi="PT Serif"/>
                <w:color w:val="232222"/>
                <w:sz w:val="28"/>
                <w:szCs w:val="28"/>
              </w:rPr>
            </w:pPr>
            <w:r w:rsidRPr="00CA20AA">
              <w:rPr>
                <w:rStyle w:val="s10"/>
                <w:rFonts w:ascii="PT Serif" w:hAnsi="PT Serif"/>
                <w:b/>
                <w:bCs/>
                <w:color w:val="232222"/>
                <w:sz w:val="28"/>
                <w:szCs w:val="28"/>
              </w:rPr>
              <w:t>Кассация: нельзя сначала объявить выговор, а потом уволить за тот же проступок</w:t>
            </w:r>
          </w:p>
          <w:p w:rsidR="00CA20AA" w:rsidRPr="00CA20AA" w:rsidRDefault="00CA20AA" w:rsidP="00CA20AA">
            <w:pPr>
              <w:pStyle w:val="s1"/>
              <w:jc w:val="both"/>
              <w:rPr>
                <w:rFonts w:ascii="PT Serif" w:hAnsi="PT Serif"/>
                <w:color w:val="22272F"/>
                <w:sz w:val="28"/>
                <w:szCs w:val="28"/>
              </w:rPr>
            </w:pPr>
            <w:hyperlink r:id="rId7" w:anchor="/document/470697555/entry/0" w:history="1">
              <w:r w:rsidRPr="00CA20AA">
                <w:rPr>
                  <w:rStyle w:val="a4"/>
                  <w:rFonts w:ascii="PT Serif" w:hAnsi="PT Serif"/>
                  <w:color w:val="3272C0"/>
                  <w:sz w:val="28"/>
                  <w:szCs w:val="28"/>
                </w:rPr>
                <w:t>Определение СКГД Второго КСОЮ от 17 марта 2026 г. по делу N 8Г-7077/2026</w:t>
              </w:r>
            </w:hyperlink>
          </w:p>
          <w:p w:rsidR="00CA20AA" w:rsidRPr="00CA20AA" w:rsidRDefault="00CA20AA" w:rsidP="00CA20AA">
            <w:pPr>
              <w:pStyle w:val="s1"/>
              <w:jc w:val="both"/>
              <w:rPr>
                <w:rFonts w:ascii="PT Serif" w:hAnsi="PT Serif"/>
                <w:color w:val="22272F"/>
                <w:sz w:val="28"/>
                <w:szCs w:val="28"/>
              </w:rPr>
            </w:pPr>
            <w:r w:rsidRPr="00CA20AA">
              <w:rPr>
                <w:rFonts w:ascii="PT Serif" w:hAnsi="PT Serif"/>
                <w:color w:val="22272F"/>
                <w:sz w:val="28"/>
                <w:szCs w:val="28"/>
              </w:rPr>
              <w:t>Второй кассационный суд общей юрисдикции оставил в силе решения, по которым работницу восстановили после увольнения за прогул.</w:t>
            </w:r>
          </w:p>
          <w:p w:rsidR="00CA20AA" w:rsidRPr="00CA20AA" w:rsidRDefault="00CA20AA" w:rsidP="00CA20AA">
            <w:pPr>
              <w:pStyle w:val="s1"/>
              <w:jc w:val="both"/>
              <w:rPr>
                <w:rFonts w:ascii="PT Serif" w:hAnsi="PT Serif"/>
                <w:color w:val="22272F"/>
                <w:sz w:val="28"/>
                <w:szCs w:val="28"/>
              </w:rPr>
            </w:pPr>
            <w:r w:rsidRPr="00CA20AA">
              <w:rPr>
                <w:rFonts w:ascii="PT Serif" w:hAnsi="PT Serif"/>
                <w:color w:val="22272F"/>
                <w:sz w:val="28"/>
                <w:szCs w:val="28"/>
              </w:rPr>
              <w:t>Суды установили, что за спорные дни отсутствия работодатель уже применил дисциплинарное взыскание: объявил выговор и ознакомил работницу с приказом под подпись. Позднее ее уволили за прогул по тем же эпизодам.</w:t>
            </w:r>
          </w:p>
          <w:p w:rsidR="00CA20AA" w:rsidRPr="00CA20AA" w:rsidRDefault="00CA20AA" w:rsidP="00CA20AA">
            <w:pPr>
              <w:pStyle w:val="s1"/>
              <w:jc w:val="both"/>
              <w:rPr>
                <w:rFonts w:ascii="PT Serif" w:hAnsi="PT Serif"/>
                <w:color w:val="22272F"/>
                <w:sz w:val="28"/>
                <w:szCs w:val="28"/>
              </w:rPr>
            </w:pPr>
            <w:r w:rsidRPr="00CA20AA">
              <w:rPr>
                <w:rFonts w:ascii="PT Serif" w:hAnsi="PT Serif"/>
                <w:color w:val="22272F"/>
                <w:sz w:val="28"/>
                <w:szCs w:val="28"/>
              </w:rPr>
              <w:t>Кассация поддержала вывод нижестоящих судов: повторно привлекать к дисциплинарной ответственности за один и тот же проступок нельзя. Последующая отмена выговора сама по себе не делает увольнение законным.</w:t>
            </w:r>
          </w:p>
          <w:p w:rsidR="00CA20AA" w:rsidRPr="00CA20AA" w:rsidRDefault="00CA20AA" w:rsidP="00CA20AA">
            <w:pPr>
              <w:pStyle w:val="s1"/>
              <w:jc w:val="both"/>
              <w:rPr>
                <w:rFonts w:ascii="PT Serif" w:hAnsi="PT Serif"/>
                <w:color w:val="22272F"/>
                <w:sz w:val="28"/>
                <w:szCs w:val="28"/>
              </w:rPr>
            </w:pPr>
            <w:r w:rsidRPr="00CA20AA">
              <w:rPr>
                <w:rFonts w:ascii="PT Serif" w:hAnsi="PT Serif"/>
                <w:color w:val="22272F"/>
                <w:sz w:val="28"/>
                <w:szCs w:val="28"/>
              </w:rPr>
              <w:t>Суды также указали, что работодатель не доказал, что при выборе самой строгой меры учел тяжесть проступка, обстоятельства его совершения и предшествующее отношение работницы к труду.</w:t>
            </w:r>
          </w:p>
          <w:p w:rsidR="00CA20AA" w:rsidRPr="00CA20AA" w:rsidRDefault="00CA20AA" w:rsidP="00CA20AA">
            <w:pPr>
              <w:pStyle w:val="s1"/>
              <w:jc w:val="both"/>
              <w:rPr>
                <w:rFonts w:ascii="PT Serif" w:hAnsi="PT Serif"/>
                <w:color w:val="22272F"/>
                <w:sz w:val="28"/>
                <w:szCs w:val="28"/>
              </w:rPr>
            </w:pPr>
            <w:r w:rsidRPr="00CA20AA">
              <w:rPr>
                <w:rFonts w:ascii="PT Serif" w:hAnsi="PT Serif"/>
                <w:color w:val="22272F"/>
                <w:sz w:val="28"/>
                <w:szCs w:val="28"/>
              </w:rPr>
              <w:t>Таким образом, если по конкретному нарушению работодатель уже выбрал дисциплинарную меру, то менять ее впоследствии на увольнение за тот же проступок будет рискованно.</w:t>
            </w:r>
          </w:p>
          <w:p w:rsidR="00CA20AA" w:rsidRDefault="00CA20AA" w:rsidP="000B1667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</w:p>
          <w:p w:rsidR="00CA20AA" w:rsidRPr="007A51BD" w:rsidRDefault="00CA20AA" w:rsidP="00CA20AA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CA20AA" w:rsidTr="000B1667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AA" w:rsidRDefault="00CA20AA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A20AA" w:rsidRPr="00D52B05" w:rsidRDefault="00CA20AA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Калужская областная организация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Общероссийского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Профсоюза  образования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CA20AA" w:rsidRPr="00D52B05" w:rsidRDefault="00CA20AA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CA20AA" w:rsidRPr="00D52B05" w:rsidRDefault="00CA20AA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июль, 2026</w:t>
            </w:r>
          </w:p>
          <w:p w:rsidR="00CA20AA" w:rsidRDefault="00CA20AA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CA20AA" w:rsidRPr="00E051E0" w:rsidRDefault="00CA20AA" w:rsidP="00CA2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Pr="00602C2E" w:rsidRDefault="00CA20AA" w:rsidP="00CA20AA">
      <w:pPr>
        <w:shd w:val="clear" w:color="auto" w:fill="FFFFFF"/>
        <w:spacing w:line="42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CA20AA" w:rsidRDefault="00CA20AA" w:rsidP="00CA20AA"/>
    <w:p w:rsidR="001339BF" w:rsidRDefault="00CA20AA"/>
    <w:sectPr w:rsidR="001339BF" w:rsidSect="00816A9D">
      <w:pgSz w:w="11906" w:h="16838"/>
      <w:pgMar w:top="568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AA"/>
    <w:rsid w:val="001545F9"/>
    <w:rsid w:val="00CA20AA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D7FF"/>
  <w15:chartTrackingRefBased/>
  <w15:docId w15:val="{754A8F5E-9BFC-4D62-9409-B00F8997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0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A20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A2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20AA"/>
    <w:rPr>
      <w:color w:val="0000FF"/>
      <w:u w:val="single"/>
    </w:rPr>
  </w:style>
  <w:style w:type="paragraph" w:customStyle="1" w:styleId="s74">
    <w:name w:val="s_74"/>
    <w:basedOn w:val="a"/>
    <w:rsid w:val="00CA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20AA"/>
  </w:style>
  <w:style w:type="paragraph" w:customStyle="1" w:styleId="s1">
    <w:name w:val="s_1"/>
    <w:basedOn w:val="a"/>
    <w:rsid w:val="00CA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bitr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2026-07-09T12:46:00Z</dcterms:created>
  <dcterms:modified xsi:type="dcterms:W3CDTF">2026-07-09T12:50:00Z</dcterms:modified>
</cp:coreProperties>
</file>