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1199" w:type="dxa"/>
        <w:tblInd w:w="-1139" w:type="dxa"/>
        <w:tblLayout w:type="fixed"/>
        <w:tblLook w:val="04A0" w:firstRow="1" w:lastRow="0" w:firstColumn="1" w:lastColumn="0" w:noHBand="0" w:noVBand="1"/>
      </w:tblPr>
      <w:tblGrid>
        <w:gridCol w:w="11199"/>
      </w:tblGrid>
      <w:tr w:rsidR="009C69F4" w:rsidTr="0062380A">
        <w:trPr>
          <w:trHeight w:val="3954"/>
        </w:trPr>
        <w:tc>
          <w:tcPr>
            <w:tcW w:w="11199" w:type="dxa"/>
            <w:tcBorders>
              <w:top w:val="single" w:sz="4" w:space="0" w:color="auto"/>
              <w:left w:val="single" w:sz="4" w:space="0" w:color="auto"/>
              <w:bottom w:val="single" w:sz="4" w:space="0" w:color="auto"/>
              <w:right w:val="single" w:sz="4" w:space="0" w:color="auto"/>
            </w:tcBorders>
          </w:tcPr>
          <w:p w:rsidR="009C69F4" w:rsidRDefault="009C69F4" w:rsidP="0062380A">
            <w:pPr>
              <w:pStyle w:val="ConsPlusNormal"/>
              <w:jc w:val="both"/>
              <w:rPr>
                <w:sz w:val="28"/>
                <w:szCs w:val="28"/>
                <w:lang w:eastAsia="en-US"/>
              </w:rPr>
            </w:pPr>
          </w:p>
          <w:tbl>
            <w:tblPr>
              <w:tblStyle w:val="a3"/>
              <w:tblW w:w="11086" w:type="dxa"/>
              <w:tblLayout w:type="fixed"/>
              <w:tblLook w:val="04A0" w:firstRow="1" w:lastRow="0" w:firstColumn="1" w:lastColumn="0" w:noHBand="0" w:noVBand="1"/>
            </w:tblPr>
            <w:tblGrid>
              <w:gridCol w:w="4859"/>
              <w:gridCol w:w="6227"/>
            </w:tblGrid>
            <w:tr w:rsidR="009C69F4" w:rsidTr="0062380A">
              <w:trPr>
                <w:trHeight w:val="3036"/>
              </w:trPr>
              <w:tc>
                <w:tcPr>
                  <w:tcW w:w="4859" w:type="dxa"/>
                  <w:tcBorders>
                    <w:top w:val="single" w:sz="4" w:space="0" w:color="auto"/>
                    <w:left w:val="single" w:sz="4" w:space="0" w:color="auto"/>
                    <w:bottom w:val="single" w:sz="4" w:space="0" w:color="auto"/>
                    <w:right w:val="single" w:sz="4" w:space="0" w:color="auto"/>
                  </w:tcBorders>
                  <w:hideMark/>
                </w:tcPr>
                <w:p w:rsidR="009C69F4" w:rsidRDefault="009C69F4" w:rsidP="0062380A">
                  <w:pPr>
                    <w:pStyle w:val="ConsPlusNormal"/>
                    <w:tabs>
                      <w:tab w:val="left" w:pos="87"/>
                      <w:tab w:val="left" w:pos="3432"/>
                    </w:tabs>
                    <w:ind w:left="-234"/>
                    <w:jc w:val="center"/>
                    <w:rPr>
                      <w:sz w:val="28"/>
                      <w:szCs w:val="28"/>
                      <w:lang w:eastAsia="en-US"/>
                    </w:rPr>
                  </w:pPr>
                  <w:r>
                    <w:rPr>
                      <w:noProof/>
                    </w:rPr>
                    <w:drawing>
                      <wp:inline distT="0" distB="0" distL="0" distR="0" wp14:anchorId="68DB06CE" wp14:editId="35A10A7E">
                        <wp:extent cx="1798320" cy="1973580"/>
                        <wp:effectExtent l="0" t="0" r="0" b="7620"/>
                        <wp:docPr id="4" name="Рисунок 4" descr="https://fp-sk.ru/upload/medialibrary/10b/10bcf1192035a9fec67fa9fee29343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fp-sk.ru/upload/medialibrary/10b/10bcf1192035a9fec67fa9fee2934339.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98320" cy="1973580"/>
                                </a:xfrm>
                                <a:prstGeom prst="rect">
                                  <a:avLst/>
                                </a:prstGeom>
                                <a:noFill/>
                                <a:ln>
                                  <a:noFill/>
                                </a:ln>
                              </pic:spPr>
                            </pic:pic>
                          </a:graphicData>
                        </a:graphic>
                      </wp:inline>
                    </w:drawing>
                  </w:r>
                  <w:r>
                    <w:rPr>
                      <w:noProof/>
                    </w:rPr>
                    <w:drawing>
                      <wp:inline distT="0" distB="0" distL="0" distR="0" wp14:anchorId="7E1C4EB3" wp14:editId="1F041B72">
                        <wp:extent cx="1036320" cy="1501140"/>
                        <wp:effectExtent l="0" t="0" r="0" b="3810"/>
                        <wp:docPr id="5" name="Рисунок 5" descr="https://sosh10.edu95.ru/index.php?component=download&amp;file=97b966d5135be7bee0f1a21412b21b809bb21f66f938535d4ac9685a18629974&amp;view=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sosh10.edu95.ru/index.php?component=download&amp;file=97b966d5135be7bee0f1a21412b21b809bb21f66f938535d4ac9685a18629974&amp;view=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0713" cy="1565444"/>
                                </a:xfrm>
                                <a:prstGeom prst="rect">
                                  <a:avLst/>
                                </a:prstGeom>
                                <a:noFill/>
                                <a:ln>
                                  <a:noFill/>
                                </a:ln>
                              </pic:spPr>
                            </pic:pic>
                          </a:graphicData>
                        </a:graphic>
                      </wp:inline>
                    </w:drawing>
                  </w:r>
                  <w:r>
                    <w:rPr>
                      <w:sz w:val="28"/>
                      <w:szCs w:val="28"/>
                      <w:lang w:eastAsia="en-US"/>
                    </w:rPr>
                    <w:t>Правовая инспекция труда Профсоюза</w:t>
                  </w:r>
                </w:p>
              </w:tc>
              <w:tc>
                <w:tcPr>
                  <w:tcW w:w="6227" w:type="dxa"/>
                  <w:tcBorders>
                    <w:top w:val="single" w:sz="4" w:space="0" w:color="auto"/>
                    <w:left w:val="single" w:sz="4" w:space="0" w:color="auto"/>
                    <w:bottom w:val="single" w:sz="4" w:space="0" w:color="auto"/>
                    <w:right w:val="single" w:sz="4" w:space="0" w:color="auto"/>
                  </w:tcBorders>
                </w:tcPr>
                <w:p w:rsidR="009C69F4" w:rsidRDefault="009C69F4" w:rsidP="0062380A">
                  <w:pPr>
                    <w:jc w:val="center"/>
                    <w:rPr>
                      <w:b/>
                      <w:sz w:val="28"/>
                      <w:szCs w:val="28"/>
                    </w:rPr>
                  </w:pPr>
                  <w:r>
                    <w:rPr>
                      <w:b/>
                      <w:sz w:val="28"/>
                      <w:szCs w:val="28"/>
                    </w:rPr>
                    <w:t xml:space="preserve">КАЛУЖСКАЯ ОБЛАСТНАЯ ОРГАНИЗАЦИЯ </w:t>
                  </w:r>
                </w:p>
                <w:p w:rsidR="009C69F4" w:rsidRPr="006355F5" w:rsidRDefault="009C69F4" w:rsidP="0062380A">
                  <w:pPr>
                    <w:jc w:val="center"/>
                    <w:rPr>
                      <w:b/>
                      <w:szCs w:val="28"/>
                    </w:rPr>
                  </w:pPr>
                  <w:r>
                    <w:rPr>
                      <w:b/>
                      <w:szCs w:val="28"/>
                    </w:rPr>
                    <w:t>ОБЩЕРОССИЙСКОГО</w:t>
                  </w:r>
                  <w:r w:rsidRPr="002B36EE">
                    <w:rPr>
                      <w:b/>
                      <w:szCs w:val="28"/>
                    </w:rPr>
                    <w:t xml:space="preserve"> ПРОФСОЮЗ</w:t>
                  </w:r>
                  <w:r>
                    <w:rPr>
                      <w:b/>
                      <w:szCs w:val="28"/>
                    </w:rPr>
                    <w:t>А</w:t>
                  </w:r>
                  <w:r w:rsidRPr="002B36EE">
                    <w:rPr>
                      <w:b/>
                      <w:szCs w:val="28"/>
                    </w:rPr>
                    <w:t xml:space="preserve"> ОБРАЗОВАНИЯ</w:t>
                  </w:r>
                </w:p>
                <w:p w:rsidR="009C69F4" w:rsidRDefault="009C69F4" w:rsidP="0062380A">
                  <w:pPr>
                    <w:pStyle w:val="ConsPlusTitle"/>
                    <w:jc w:val="center"/>
                  </w:pPr>
                </w:p>
                <w:p w:rsidR="009C69F4" w:rsidRPr="00A037AE" w:rsidRDefault="009C69F4" w:rsidP="0062380A">
                  <w:pPr>
                    <w:pStyle w:val="ConsPlusTitle"/>
                    <w:jc w:val="center"/>
                    <w:rPr>
                      <w:color w:val="222A35" w:themeColor="text2" w:themeShade="80"/>
                      <w:lang w:eastAsia="en-US"/>
                    </w:rPr>
                  </w:pPr>
                  <w:hyperlink r:id="rId6" w:history="1">
                    <w:r w:rsidRPr="00A037AE">
                      <w:rPr>
                        <w:rStyle w:val="a4"/>
                        <w:color w:val="222A35" w:themeColor="text2" w:themeShade="80"/>
                        <w:sz w:val="28"/>
                        <w:szCs w:val="28"/>
                      </w:rPr>
                      <w:t>https://www.eseur.ru/kaluga/</w:t>
                    </w:r>
                  </w:hyperlink>
                </w:p>
                <w:p w:rsidR="009C69F4" w:rsidRPr="00A037AE" w:rsidRDefault="009C69F4" w:rsidP="0062380A">
                  <w:pPr>
                    <w:pStyle w:val="ConsPlusTitle"/>
                    <w:jc w:val="center"/>
                    <w:rPr>
                      <w:color w:val="222A35" w:themeColor="text2" w:themeShade="80"/>
                      <w:sz w:val="32"/>
                      <w:szCs w:val="32"/>
                      <w:lang w:eastAsia="en-US"/>
                    </w:rPr>
                  </w:pPr>
                </w:p>
                <w:p w:rsidR="009C69F4" w:rsidRPr="00A037AE" w:rsidRDefault="009C69F4" w:rsidP="0062380A">
                  <w:pPr>
                    <w:pStyle w:val="ConsPlusTitle"/>
                    <w:jc w:val="center"/>
                    <w:rPr>
                      <w:color w:val="FF0000"/>
                      <w:sz w:val="32"/>
                      <w:szCs w:val="32"/>
                      <w:lang w:eastAsia="en-US"/>
                    </w:rPr>
                  </w:pPr>
                  <w:r w:rsidRPr="00A037AE">
                    <w:rPr>
                      <w:color w:val="FF0000"/>
                      <w:sz w:val="32"/>
                      <w:szCs w:val="32"/>
                      <w:lang w:eastAsia="en-US"/>
                    </w:rPr>
                    <w:t>Информационный листок №</w:t>
                  </w:r>
                  <w:r w:rsidR="00057688">
                    <w:rPr>
                      <w:color w:val="FF0000"/>
                      <w:sz w:val="32"/>
                      <w:szCs w:val="32"/>
                      <w:lang w:eastAsia="en-US"/>
                    </w:rPr>
                    <w:t>53</w:t>
                  </w:r>
                </w:p>
                <w:p w:rsidR="009C69F4" w:rsidRPr="0080747D" w:rsidRDefault="009C69F4" w:rsidP="0062380A">
                  <w:pPr>
                    <w:ind w:firstLine="540"/>
                    <w:jc w:val="both"/>
                    <w:rPr>
                      <w:rFonts w:ascii="Times New Roman" w:hAnsi="Times New Roman" w:cs="Times New Roman"/>
                      <w:b/>
                      <w:bCs/>
                      <w:color w:val="ED7D31" w:themeColor="accent2"/>
                      <w:kern w:val="36"/>
                      <w:sz w:val="28"/>
                      <w:szCs w:val="28"/>
                    </w:rPr>
                  </w:pPr>
                  <w:r>
                    <w:rPr>
                      <w:rFonts w:ascii="Times New Roman" w:hAnsi="Times New Roman" w:cs="Times New Roman"/>
                      <w:b/>
                      <w:bCs/>
                      <w:color w:val="ED7D31" w:themeColor="accent2"/>
                      <w:kern w:val="36"/>
                      <w:sz w:val="28"/>
                      <w:szCs w:val="28"/>
                    </w:rPr>
                    <w:t xml:space="preserve"> </w:t>
                  </w:r>
                </w:p>
                <w:p w:rsidR="009C69F4" w:rsidRPr="00984EC2" w:rsidRDefault="00057688" w:rsidP="0062380A">
                  <w:pPr>
                    <w:pStyle w:val="Default"/>
                    <w:jc w:val="center"/>
                    <w:rPr>
                      <w:b/>
                      <w:bCs/>
                      <w:color w:val="ED7D31" w:themeColor="accent2"/>
                      <w:kern w:val="36"/>
                      <w:sz w:val="28"/>
                      <w:szCs w:val="28"/>
                    </w:rPr>
                  </w:pPr>
                  <w:r>
                    <w:rPr>
                      <w:b/>
                      <w:bCs/>
                      <w:color w:val="70AD47" w:themeColor="accent6"/>
                      <w:kern w:val="36"/>
                      <w:sz w:val="28"/>
                      <w:szCs w:val="28"/>
                    </w:rPr>
                    <w:t xml:space="preserve">Ответы на вопросы по </w:t>
                  </w:r>
                  <w:r w:rsidR="009C69F4" w:rsidRPr="009C69F4">
                    <w:rPr>
                      <w:b/>
                      <w:bCs/>
                      <w:color w:val="70AD47" w:themeColor="accent6"/>
                      <w:kern w:val="36"/>
                      <w:sz w:val="28"/>
                      <w:szCs w:val="28"/>
                    </w:rPr>
                    <w:t xml:space="preserve"> учебной нагрузки</w:t>
                  </w:r>
                  <w:r>
                    <w:rPr>
                      <w:b/>
                      <w:bCs/>
                      <w:color w:val="70AD47" w:themeColor="accent6"/>
                      <w:kern w:val="36"/>
                      <w:sz w:val="28"/>
                      <w:szCs w:val="28"/>
                    </w:rPr>
                    <w:t xml:space="preserve"> педагогических работников</w:t>
                  </w:r>
                </w:p>
              </w:tc>
            </w:tr>
          </w:tbl>
          <w:p w:rsidR="009C69F4" w:rsidRDefault="009C69F4" w:rsidP="0062380A">
            <w:pPr>
              <w:pStyle w:val="ConsPlusNormal"/>
              <w:jc w:val="both"/>
              <w:rPr>
                <w:sz w:val="28"/>
                <w:szCs w:val="28"/>
                <w:lang w:eastAsia="en-US"/>
              </w:rPr>
            </w:pPr>
          </w:p>
        </w:tc>
      </w:tr>
      <w:tr w:rsidR="009C69F4" w:rsidTr="0062380A">
        <w:tc>
          <w:tcPr>
            <w:tcW w:w="11199" w:type="dxa"/>
            <w:tcBorders>
              <w:top w:val="single" w:sz="4" w:space="0" w:color="auto"/>
              <w:left w:val="single" w:sz="4" w:space="0" w:color="auto"/>
              <w:bottom w:val="single" w:sz="4" w:space="0" w:color="auto"/>
              <w:right w:val="single" w:sz="4" w:space="0" w:color="auto"/>
            </w:tcBorders>
          </w:tcPr>
          <w:p w:rsidR="00057688" w:rsidRPr="00057688" w:rsidRDefault="00057688" w:rsidP="00057688">
            <w:pPr>
              <w:autoSpaceDE w:val="0"/>
              <w:autoSpaceDN w:val="0"/>
              <w:adjustRightInd w:val="0"/>
              <w:spacing w:after="36"/>
              <w:jc w:val="both"/>
              <w:rPr>
                <w:rFonts w:ascii="Times New Roman" w:hAnsi="Times New Roman" w:cs="Times New Roman"/>
                <w:sz w:val="24"/>
                <w:szCs w:val="24"/>
              </w:rPr>
            </w:pPr>
            <w:r w:rsidRPr="00057688">
              <w:rPr>
                <w:rFonts w:ascii="Times New Roman" w:hAnsi="Times New Roman" w:cs="Times New Roman"/>
                <w:sz w:val="24"/>
                <w:szCs w:val="24"/>
              </w:rPr>
              <w:t xml:space="preserve"> -Объем учебной нагрузки педагогических работников (за исключением педагогических работников, замещающих должности профессорско-преподавательского состава), установленный в текущем учебном году (тренировочном периоде, спортивном сезоне), не может быть изменен по инициативе работодателя на следующий учебный год (тренировочный период, спортивный сезон) за исключением случаев изменения учебной нагрузки педагогических работников, </w:t>
            </w:r>
            <w:bookmarkStart w:id="0" w:name="_GoBack"/>
            <w:bookmarkEnd w:id="0"/>
            <w:r w:rsidRPr="00057688">
              <w:rPr>
                <w:rFonts w:ascii="Times New Roman" w:hAnsi="Times New Roman" w:cs="Times New Roman"/>
                <w:sz w:val="24"/>
                <w:szCs w:val="24"/>
              </w:rPr>
              <w:t xml:space="preserve">, в сторону ее снижения, связанного с уменьшением количества часов по учебным планам, учебным графикам, сокращением количества обучающихся, занимающихся, групп, сокращением количества классов (классов-комплектов). </w:t>
            </w:r>
          </w:p>
          <w:p w:rsidR="00057688" w:rsidRPr="00057688" w:rsidRDefault="00057688" w:rsidP="00057688">
            <w:pPr>
              <w:autoSpaceDE w:val="0"/>
              <w:autoSpaceDN w:val="0"/>
              <w:adjustRightInd w:val="0"/>
              <w:jc w:val="both"/>
              <w:rPr>
                <w:rFonts w:ascii="Times New Roman" w:hAnsi="Times New Roman" w:cs="Times New Roman"/>
                <w:sz w:val="24"/>
                <w:szCs w:val="24"/>
              </w:rPr>
            </w:pPr>
            <w:r w:rsidRPr="00057688">
              <w:rPr>
                <w:rFonts w:ascii="Times New Roman" w:hAnsi="Times New Roman" w:cs="Times New Roman"/>
                <w:sz w:val="24"/>
                <w:szCs w:val="24"/>
              </w:rPr>
              <w:t xml:space="preserve">-Временное или постоянное изменение (увеличение или снижение) объема учебной нагрузки педагогических работников по сравнению с учебной нагрузкой, оговоренной в трудовом договоре, допускается только по соглашению сторон трудового договора, заключаемого в письменной форме, за исключением изменения объема учебной нагрузки педагогических работников в сторону его </w:t>
            </w:r>
            <w:r w:rsidR="00307BEA">
              <w:rPr>
                <w:rFonts w:ascii="Times New Roman" w:hAnsi="Times New Roman" w:cs="Times New Roman"/>
                <w:sz w:val="24"/>
                <w:szCs w:val="24"/>
              </w:rPr>
              <w:t>снижения</w:t>
            </w:r>
            <w:r w:rsidRPr="00057688">
              <w:rPr>
                <w:rFonts w:ascii="Times New Roman" w:hAnsi="Times New Roman" w:cs="Times New Roman"/>
                <w:sz w:val="24"/>
                <w:szCs w:val="24"/>
              </w:rPr>
              <w:t xml:space="preserve">. </w:t>
            </w:r>
          </w:p>
          <w:p w:rsidR="00057688" w:rsidRPr="00057688" w:rsidRDefault="00057688" w:rsidP="00057688">
            <w:pPr>
              <w:autoSpaceDE w:val="0"/>
              <w:autoSpaceDN w:val="0"/>
              <w:adjustRightInd w:val="0"/>
              <w:jc w:val="both"/>
              <w:rPr>
                <w:rFonts w:ascii="Times New Roman" w:hAnsi="Times New Roman" w:cs="Times New Roman"/>
                <w:sz w:val="24"/>
                <w:szCs w:val="24"/>
              </w:rPr>
            </w:pPr>
            <w:r w:rsidRPr="00057688">
              <w:rPr>
                <w:rFonts w:ascii="Times New Roman" w:hAnsi="Times New Roman" w:cs="Times New Roman"/>
                <w:sz w:val="24"/>
                <w:szCs w:val="24"/>
              </w:rPr>
              <w:t xml:space="preserve">- Об изменениях объема учебной нагрузки (увеличение или снижение), а также о причинах, вызвавших необходимость таких изменений, работодатель обязан уведомить педагогических работников в письменной форме не позднее, чем за два месяца до осуществления предполагаемых изменений, за исключением случаев, когда изменение объема учебной нагрузки осуществляется по соглашению сторон трудового договора. </w:t>
            </w:r>
          </w:p>
          <w:p w:rsidR="00057688" w:rsidRPr="00057688" w:rsidRDefault="00057688" w:rsidP="00057688">
            <w:pPr>
              <w:autoSpaceDE w:val="0"/>
              <w:autoSpaceDN w:val="0"/>
              <w:adjustRightInd w:val="0"/>
              <w:jc w:val="both"/>
              <w:rPr>
                <w:rFonts w:ascii="Times New Roman" w:hAnsi="Times New Roman" w:cs="Times New Roman"/>
                <w:sz w:val="24"/>
                <w:szCs w:val="24"/>
              </w:rPr>
            </w:pPr>
            <w:r w:rsidRPr="00057688">
              <w:rPr>
                <w:rFonts w:ascii="Times New Roman" w:hAnsi="Times New Roman" w:cs="Times New Roman"/>
                <w:sz w:val="24"/>
                <w:szCs w:val="24"/>
              </w:rPr>
              <w:t>-При определении учебной нагрузки на новый учебный год учителям и преподавателям, для которых организация, осуществляющая образовательную деятельность, является основным местом работы, сохраняется ее объем и обеспечивается преемственность преподавания учебных предметов, курсов, дисциплин (модулей) в классах (классах-комплектах), г</w:t>
            </w:r>
            <w:r w:rsidR="00307BEA">
              <w:rPr>
                <w:rFonts w:ascii="Times New Roman" w:hAnsi="Times New Roman" w:cs="Times New Roman"/>
                <w:sz w:val="24"/>
                <w:szCs w:val="24"/>
              </w:rPr>
              <w:t>руппах, за исключением случаев.</w:t>
            </w:r>
          </w:p>
          <w:p w:rsidR="00057688" w:rsidRPr="00057688" w:rsidRDefault="00057688" w:rsidP="00057688">
            <w:pPr>
              <w:autoSpaceDE w:val="0"/>
              <w:autoSpaceDN w:val="0"/>
              <w:adjustRightInd w:val="0"/>
              <w:jc w:val="both"/>
              <w:rPr>
                <w:rFonts w:ascii="Times New Roman" w:hAnsi="Times New Roman" w:cs="Times New Roman"/>
                <w:color w:val="000000"/>
                <w:sz w:val="24"/>
                <w:szCs w:val="24"/>
              </w:rPr>
            </w:pPr>
          </w:p>
          <w:p w:rsidR="00057688" w:rsidRPr="00057688" w:rsidRDefault="00057688" w:rsidP="00057688">
            <w:pPr>
              <w:autoSpaceDE w:val="0"/>
              <w:autoSpaceDN w:val="0"/>
              <w:adjustRightInd w:val="0"/>
              <w:jc w:val="both"/>
              <w:rPr>
                <w:rFonts w:ascii="Times New Roman" w:hAnsi="Times New Roman" w:cs="Times New Roman"/>
                <w:sz w:val="24"/>
                <w:szCs w:val="24"/>
              </w:rPr>
            </w:pPr>
            <w:r w:rsidRPr="00057688">
              <w:rPr>
                <w:rFonts w:ascii="Times New Roman" w:hAnsi="Times New Roman" w:cs="Times New Roman"/>
                <w:sz w:val="24"/>
                <w:szCs w:val="24"/>
              </w:rPr>
              <w:t>- При возложении на учителей организаций, реализующих основные общеобразовательные программы, для которых указанные организации являются основным местом работы, обязанностей по обучению на дому детей, которые по состоянию здоровья не могут посещать такие организации, количество часов, установленное для обучения таких детей, включается в учебную нагрузку учителей.</w:t>
            </w:r>
          </w:p>
          <w:p w:rsidR="00057688" w:rsidRPr="00057688" w:rsidRDefault="00057688" w:rsidP="00057688">
            <w:pPr>
              <w:autoSpaceDE w:val="0"/>
              <w:autoSpaceDN w:val="0"/>
              <w:adjustRightInd w:val="0"/>
              <w:rPr>
                <w:rFonts w:ascii="Times New Roman" w:hAnsi="Times New Roman" w:cs="Times New Roman"/>
                <w:color w:val="000000"/>
                <w:sz w:val="24"/>
                <w:szCs w:val="24"/>
              </w:rPr>
            </w:pPr>
          </w:p>
          <w:p w:rsidR="00057688" w:rsidRPr="00057688" w:rsidRDefault="00057688" w:rsidP="008B6199">
            <w:pPr>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w:t>
            </w:r>
            <w:r w:rsidRPr="00057688">
              <w:rPr>
                <w:rFonts w:ascii="Times New Roman" w:hAnsi="Times New Roman" w:cs="Times New Roman"/>
                <w:sz w:val="24"/>
                <w:szCs w:val="24"/>
              </w:rPr>
              <w:t>Преподавателям организаций, осуществляющих образовательную деятельность по образовательным программам среднего профессионального образования, норма часов учебной (преподавательской) работы за ставку заработной платы которых составляет 720 часов в год, определяется объем годовой учебной нагрузки из расчета на 10 учебных месяцев. Учебная нагрузка на выходные и нерабочие праздничные дни не планируется.</w:t>
            </w:r>
          </w:p>
          <w:p w:rsidR="00057688" w:rsidRPr="00057688" w:rsidRDefault="00057688" w:rsidP="00057688">
            <w:pPr>
              <w:autoSpaceDE w:val="0"/>
              <w:autoSpaceDN w:val="0"/>
              <w:adjustRightInd w:val="0"/>
              <w:jc w:val="both"/>
              <w:rPr>
                <w:rFonts w:ascii="Times New Roman" w:hAnsi="Times New Roman" w:cs="Times New Roman"/>
                <w:sz w:val="24"/>
                <w:szCs w:val="24"/>
              </w:rPr>
            </w:pPr>
          </w:p>
        </w:tc>
      </w:tr>
      <w:tr w:rsidR="009C69F4" w:rsidTr="0062380A">
        <w:tc>
          <w:tcPr>
            <w:tcW w:w="11199" w:type="dxa"/>
            <w:tcBorders>
              <w:top w:val="single" w:sz="4" w:space="0" w:color="auto"/>
              <w:left w:val="single" w:sz="4" w:space="0" w:color="auto"/>
              <w:bottom w:val="single" w:sz="4" w:space="0" w:color="auto"/>
              <w:right w:val="single" w:sz="4" w:space="0" w:color="auto"/>
            </w:tcBorders>
          </w:tcPr>
          <w:p w:rsidR="009C69F4" w:rsidRDefault="009C69F4" w:rsidP="0062380A">
            <w:pPr>
              <w:pBdr>
                <w:top w:val="single" w:sz="4" w:space="1" w:color="auto"/>
                <w:left w:val="single" w:sz="4" w:space="4" w:color="auto"/>
                <w:bottom w:val="single" w:sz="4" w:space="1" w:color="auto"/>
                <w:right w:val="single" w:sz="4" w:space="4" w:color="auto"/>
              </w:pBdr>
              <w:autoSpaceDE w:val="0"/>
              <w:autoSpaceDN w:val="0"/>
              <w:adjustRightInd w:val="0"/>
              <w:ind w:firstLine="851"/>
              <w:jc w:val="center"/>
              <w:outlineLvl w:val="3"/>
              <w:rPr>
                <w:rFonts w:ascii="Arial" w:hAnsi="Arial" w:cs="Arial"/>
                <w:b/>
                <w:bCs/>
                <w:sz w:val="16"/>
                <w:szCs w:val="16"/>
              </w:rPr>
            </w:pPr>
          </w:p>
          <w:p w:rsidR="009C69F4" w:rsidRPr="00D52B05" w:rsidRDefault="009C69F4" w:rsidP="0062380A">
            <w:pPr>
              <w:pBdr>
                <w:top w:val="single" w:sz="4" w:space="1" w:color="auto"/>
                <w:left w:val="single" w:sz="4" w:space="4" w:color="auto"/>
                <w:bottom w:val="single" w:sz="4" w:space="1" w:color="auto"/>
                <w:right w:val="single" w:sz="4" w:space="4" w:color="auto"/>
              </w:pBdr>
              <w:autoSpaceDE w:val="0"/>
              <w:autoSpaceDN w:val="0"/>
              <w:adjustRightInd w:val="0"/>
              <w:ind w:firstLine="851"/>
              <w:jc w:val="center"/>
              <w:outlineLvl w:val="3"/>
              <w:rPr>
                <w:rFonts w:ascii="Arial" w:hAnsi="Arial" w:cs="Arial"/>
                <w:b/>
                <w:bCs/>
                <w:sz w:val="16"/>
                <w:szCs w:val="16"/>
              </w:rPr>
            </w:pPr>
            <w:r w:rsidRPr="00D52B05">
              <w:rPr>
                <w:rFonts w:ascii="Arial" w:hAnsi="Arial" w:cs="Arial"/>
                <w:b/>
                <w:bCs/>
                <w:sz w:val="16"/>
                <w:szCs w:val="16"/>
              </w:rPr>
              <w:t>Калужская областная организация Профсоюза работников народного образования и науки РФ</w:t>
            </w:r>
          </w:p>
          <w:p w:rsidR="009C69F4" w:rsidRPr="00D52B05" w:rsidRDefault="009C69F4" w:rsidP="0062380A">
            <w:pPr>
              <w:pBdr>
                <w:top w:val="single" w:sz="4" w:space="1" w:color="auto"/>
                <w:left w:val="single" w:sz="4" w:space="4" w:color="auto"/>
                <w:bottom w:val="single" w:sz="4" w:space="1" w:color="auto"/>
                <w:right w:val="single" w:sz="4" w:space="4" w:color="auto"/>
              </w:pBdr>
              <w:autoSpaceDE w:val="0"/>
              <w:autoSpaceDN w:val="0"/>
              <w:adjustRightInd w:val="0"/>
              <w:ind w:firstLine="851"/>
              <w:jc w:val="center"/>
              <w:outlineLvl w:val="3"/>
              <w:rPr>
                <w:rFonts w:ascii="Arial" w:hAnsi="Arial" w:cs="Arial"/>
                <w:b/>
                <w:bCs/>
                <w:sz w:val="16"/>
                <w:szCs w:val="16"/>
              </w:rPr>
            </w:pPr>
            <w:r w:rsidRPr="00D52B05">
              <w:rPr>
                <w:rFonts w:ascii="Arial" w:hAnsi="Arial" w:cs="Arial"/>
                <w:b/>
                <w:bCs/>
                <w:sz w:val="16"/>
                <w:szCs w:val="16"/>
              </w:rPr>
              <w:t xml:space="preserve"> </w:t>
            </w:r>
            <w:proofErr w:type="spellStart"/>
            <w:r w:rsidRPr="00D52B05">
              <w:rPr>
                <w:rFonts w:ascii="Arial" w:hAnsi="Arial" w:cs="Arial"/>
                <w:b/>
                <w:bCs/>
                <w:sz w:val="16"/>
                <w:szCs w:val="16"/>
              </w:rPr>
              <w:t>Тел.факс</w:t>
            </w:r>
            <w:proofErr w:type="spellEnd"/>
            <w:r w:rsidRPr="00D52B05">
              <w:rPr>
                <w:rFonts w:ascii="Arial" w:hAnsi="Arial" w:cs="Arial"/>
                <w:b/>
                <w:bCs/>
                <w:sz w:val="16"/>
                <w:szCs w:val="16"/>
              </w:rPr>
              <w:t>: 57-64-</w:t>
            </w:r>
            <w:proofErr w:type="gramStart"/>
            <w:r w:rsidRPr="00D52B05">
              <w:rPr>
                <w:rFonts w:ascii="Arial" w:hAnsi="Arial" w:cs="Arial"/>
                <w:b/>
                <w:bCs/>
                <w:sz w:val="16"/>
                <w:szCs w:val="16"/>
              </w:rPr>
              <w:t xml:space="preserve">69,  </w:t>
            </w:r>
            <w:proofErr w:type="spellStart"/>
            <w:r w:rsidRPr="00D52B05">
              <w:rPr>
                <w:rFonts w:ascii="Arial" w:hAnsi="Arial" w:cs="Arial"/>
                <w:b/>
                <w:bCs/>
                <w:sz w:val="16"/>
                <w:szCs w:val="16"/>
                <w:lang w:val="en-US"/>
              </w:rPr>
              <w:t>prokaluga</w:t>
            </w:r>
            <w:proofErr w:type="spellEnd"/>
            <w:r w:rsidRPr="00D52B05">
              <w:rPr>
                <w:rFonts w:ascii="Arial" w:hAnsi="Arial" w:cs="Arial"/>
                <w:b/>
                <w:bCs/>
                <w:sz w:val="16"/>
                <w:szCs w:val="16"/>
              </w:rPr>
              <w:t>@</w:t>
            </w:r>
            <w:r w:rsidRPr="00D52B05">
              <w:rPr>
                <w:rFonts w:ascii="Arial" w:hAnsi="Arial" w:cs="Arial"/>
                <w:b/>
                <w:bCs/>
                <w:sz w:val="16"/>
                <w:szCs w:val="16"/>
                <w:lang w:val="en-US"/>
              </w:rPr>
              <w:t>mail</w:t>
            </w:r>
            <w:r w:rsidRPr="00D52B05">
              <w:rPr>
                <w:rFonts w:ascii="Arial" w:hAnsi="Arial" w:cs="Arial"/>
                <w:b/>
                <w:bCs/>
                <w:sz w:val="16"/>
                <w:szCs w:val="16"/>
              </w:rPr>
              <w:t>.</w:t>
            </w:r>
            <w:proofErr w:type="spellStart"/>
            <w:r w:rsidRPr="00D52B05">
              <w:rPr>
                <w:rFonts w:ascii="Arial" w:hAnsi="Arial" w:cs="Arial"/>
                <w:b/>
                <w:bCs/>
                <w:sz w:val="16"/>
                <w:szCs w:val="16"/>
                <w:lang w:val="en-US"/>
              </w:rPr>
              <w:t>ru</w:t>
            </w:r>
            <w:proofErr w:type="spellEnd"/>
            <w:proofErr w:type="gramEnd"/>
          </w:p>
          <w:p w:rsidR="009C69F4" w:rsidRPr="00D52B05" w:rsidRDefault="009C69F4" w:rsidP="0062380A">
            <w:pPr>
              <w:pBdr>
                <w:top w:val="single" w:sz="4" w:space="1" w:color="auto"/>
                <w:left w:val="single" w:sz="4" w:space="4" w:color="auto"/>
                <w:bottom w:val="single" w:sz="4" w:space="1" w:color="auto"/>
                <w:right w:val="single" w:sz="4" w:space="4" w:color="auto"/>
              </w:pBdr>
              <w:tabs>
                <w:tab w:val="left" w:pos="6030"/>
              </w:tabs>
              <w:jc w:val="center"/>
              <w:rPr>
                <w:rFonts w:ascii="Arial" w:hAnsi="Arial" w:cs="Arial"/>
                <w:b/>
                <w:sz w:val="16"/>
                <w:szCs w:val="16"/>
              </w:rPr>
            </w:pPr>
            <w:r>
              <w:rPr>
                <w:rFonts w:ascii="Arial" w:hAnsi="Arial" w:cs="Arial"/>
                <w:b/>
                <w:sz w:val="16"/>
                <w:szCs w:val="16"/>
              </w:rPr>
              <w:t>Калуга, октябрь, 2023</w:t>
            </w:r>
          </w:p>
          <w:p w:rsidR="009C69F4" w:rsidRDefault="009C69F4" w:rsidP="0062380A">
            <w:pPr>
              <w:pBdr>
                <w:top w:val="single" w:sz="4" w:space="1" w:color="auto"/>
                <w:left w:val="single" w:sz="4" w:space="4" w:color="auto"/>
                <w:bottom w:val="single" w:sz="4" w:space="1" w:color="auto"/>
                <w:right w:val="single" w:sz="4" w:space="4" w:color="auto"/>
              </w:pBdr>
              <w:tabs>
                <w:tab w:val="left" w:pos="6030"/>
              </w:tabs>
              <w:jc w:val="center"/>
              <w:rPr>
                <w:sz w:val="28"/>
                <w:szCs w:val="28"/>
              </w:rPr>
            </w:pPr>
            <w:hyperlink r:id="rId7" w:history="1">
              <w:r w:rsidRPr="00D52B05">
                <w:rPr>
                  <w:rStyle w:val="a4"/>
                  <w:color w:val="FF0000"/>
                  <w:sz w:val="16"/>
                  <w:szCs w:val="16"/>
                </w:rPr>
                <w:t>https://www.eseur.ru/kaluga/</w:t>
              </w:r>
            </w:hyperlink>
          </w:p>
        </w:tc>
      </w:tr>
    </w:tbl>
    <w:p w:rsidR="009C69F4" w:rsidRPr="00E051E0" w:rsidRDefault="009C69F4" w:rsidP="009C69F4">
      <w:pPr>
        <w:spacing w:after="0" w:line="240" w:lineRule="auto"/>
        <w:jc w:val="both"/>
        <w:rPr>
          <w:rFonts w:ascii="Times New Roman" w:eastAsia="Times New Roman" w:hAnsi="Times New Roman" w:cs="Times New Roman"/>
          <w:sz w:val="24"/>
          <w:szCs w:val="24"/>
          <w:lang w:eastAsia="ru-RU"/>
        </w:rPr>
      </w:pPr>
    </w:p>
    <w:p w:rsidR="009C69F4" w:rsidRDefault="009C69F4" w:rsidP="009C69F4"/>
    <w:p w:rsidR="009C69F4" w:rsidRDefault="009C69F4" w:rsidP="009C69F4"/>
    <w:p w:rsidR="009C69F4" w:rsidRDefault="009C69F4" w:rsidP="009C69F4"/>
    <w:p w:rsidR="009C69F4" w:rsidRDefault="009C69F4" w:rsidP="009C69F4"/>
    <w:p w:rsidR="009C69F4" w:rsidRDefault="009C69F4" w:rsidP="009C69F4"/>
    <w:p w:rsidR="009C69F4" w:rsidRDefault="009C69F4" w:rsidP="009C69F4"/>
    <w:p w:rsidR="009C69F4" w:rsidRDefault="009C69F4" w:rsidP="009C69F4"/>
    <w:p w:rsidR="009C69F4" w:rsidRDefault="009C69F4" w:rsidP="009C69F4"/>
    <w:p w:rsidR="009C69F4" w:rsidRDefault="009C69F4" w:rsidP="009C69F4"/>
    <w:p w:rsidR="009C69F4" w:rsidRDefault="009C69F4" w:rsidP="009C69F4"/>
    <w:p w:rsidR="009C69F4" w:rsidRDefault="009C69F4" w:rsidP="009C69F4"/>
    <w:p w:rsidR="009C69F4" w:rsidRDefault="009C69F4" w:rsidP="009C69F4"/>
    <w:p w:rsidR="009C69F4" w:rsidRDefault="009C69F4" w:rsidP="009C69F4"/>
    <w:p w:rsidR="009C69F4" w:rsidRDefault="009C69F4" w:rsidP="009C69F4"/>
    <w:p w:rsidR="009C69F4" w:rsidRDefault="009C69F4" w:rsidP="009C69F4"/>
    <w:p w:rsidR="009C69F4" w:rsidRDefault="009C69F4" w:rsidP="009C69F4"/>
    <w:p w:rsidR="009C69F4" w:rsidRDefault="009C69F4" w:rsidP="009C69F4"/>
    <w:p w:rsidR="009C69F4" w:rsidRDefault="009C69F4" w:rsidP="009C69F4"/>
    <w:p w:rsidR="009C69F4" w:rsidRDefault="009C69F4" w:rsidP="009C69F4"/>
    <w:p w:rsidR="009C69F4" w:rsidRDefault="009C69F4" w:rsidP="009C69F4"/>
    <w:p w:rsidR="009C69F4" w:rsidRDefault="009C69F4" w:rsidP="009C69F4"/>
    <w:p w:rsidR="009C69F4" w:rsidRDefault="009C69F4" w:rsidP="009C69F4"/>
    <w:p w:rsidR="009C69F4" w:rsidRDefault="009C69F4" w:rsidP="009C69F4"/>
    <w:p w:rsidR="009C69F4" w:rsidRDefault="009C69F4" w:rsidP="009C69F4"/>
    <w:p w:rsidR="009C69F4" w:rsidRDefault="009C69F4" w:rsidP="009C69F4"/>
    <w:p w:rsidR="009C69F4" w:rsidRDefault="009C69F4" w:rsidP="009C69F4"/>
    <w:p w:rsidR="00CC2EC8" w:rsidRDefault="00CC2EC8"/>
    <w:sectPr w:rsidR="00CC2EC8" w:rsidSect="008E1516">
      <w:pgSz w:w="11906" w:h="16838"/>
      <w:pgMar w:top="426"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9F4"/>
    <w:rsid w:val="00057688"/>
    <w:rsid w:val="00307BEA"/>
    <w:rsid w:val="004C6807"/>
    <w:rsid w:val="008B6199"/>
    <w:rsid w:val="009C69F4"/>
    <w:rsid w:val="00BB6E55"/>
    <w:rsid w:val="00CC2E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5E67D"/>
  <w15:chartTrackingRefBased/>
  <w15:docId w15:val="{9840038E-F5A2-41D1-AFE2-C8FD7A7C3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69F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C69F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9C69F4"/>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59"/>
    <w:rsid w:val="009C69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9C69F4"/>
    <w:rPr>
      <w:color w:val="0000FF"/>
      <w:u w:val="single"/>
    </w:rPr>
  </w:style>
  <w:style w:type="paragraph" w:customStyle="1" w:styleId="Default">
    <w:name w:val="Default"/>
    <w:rsid w:val="009C69F4"/>
    <w:pPr>
      <w:autoSpaceDE w:val="0"/>
      <w:autoSpaceDN w:val="0"/>
      <w:adjustRightInd w:val="0"/>
      <w:spacing w:after="0" w:line="240" w:lineRule="auto"/>
    </w:pPr>
    <w:rPr>
      <w:rFonts w:ascii="Cambria" w:hAnsi="Cambria" w:cs="Cambria"/>
      <w:color w:val="000000"/>
      <w:sz w:val="24"/>
      <w:szCs w:val="24"/>
    </w:rPr>
  </w:style>
  <w:style w:type="paragraph" w:customStyle="1" w:styleId="empty">
    <w:name w:val="empty"/>
    <w:basedOn w:val="a"/>
    <w:rsid w:val="009C69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9C69F4"/>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C69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eseur.ru/kalug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eseur.ru/kaluga/" TargetMode="External"/><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460</Words>
  <Characters>2625</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2023-11-22T11:49:00Z</cp:lastPrinted>
  <dcterms:created xsi:type="dcterms:W3CDTF">2023-11-22T11:54:00Z</dcterms:created>
  <dcterms:modified xsi:type="dcterms:W3CDTF">2023-11-22T11:54:00Z</dcterms:modified>
</cp:coreProperties>
</file>