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F5BDC" w:rsidTr="00695A67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C" w:rsidRPr="00726C3F" w:rsidRDefault="004F5BDC" w:rsidP="00695A6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F5BDC" w:rsidTr="00695A67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5BDC" w:rsidRDefault="004F5BDC" w:rsidP="00695A6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A23543B" wp14:editId="486331FA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08115CB" wp14:editId="132DDBA6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BDC" w:rsidRDefault="004F5BDC" w:rsidP="00695A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F5BDC" w:rsidRPr="006355F5" w:rsidRDefault="004F5BDC" w:rsidP="00695A6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F5BDC" w:rsidRDefault="004F5BDC" w:rsidP="00695A67">
                  <w:pPr>
                    <w:pStyle w:val="ConsPlusTitle"/>
                    <w:jc w:val="center"/>
                  </w:pPr>
                </w:p>
                <w:p w:rsidR="004F5BDC" w:rsidRPr="00A037AE" w:rsidRDefault="004F5BDC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F5BDC" w:rsidRPr="00A037AE" w:rsidRDefault="004F5BDC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F5BDC" w:rsidRPr="00A037AE" w:rsidRDefault="004F5BDC" w:rsidP="00695A6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6</w:t>
                  </w:r>
                </w:p>
                <w:p w:rsidR="004F5BDC" w:rsidRPr="004F5BDC" w:rsidRDefault="004F5BDC" w:rsidP="004F5BDC">
                  <w:pPr>
                    <w:pStyle w:val="s1"/>
                    <w:shd w:val="clear" w:color="auto" w:fill="FFFFFF"/>
                    <w:jc w:val="center"/>
                    <w:rPr>
                      <w:b/>
                    </w:rPr>
                  </w:pPr>
                  <w:hyperlink r:id="rId7" w:anchor="/document/413449160/entry/0" w:history="1">
                    <w:r w:rsidRPr="004F5BDC">
                      <w:rPr>
                        <w:rStyle w:val="a4"/>
                        <w:b/>
                        <w:color w:val="auto"/>
                        <w:u w:val="none"/>
                      </w:rPr>
                      <w:t xml:space="preserve">Единые рекомендации </w:t>
                    </w:r>
                    <w:bookmarkStart w:id="0" w:name="_GoBack"/>
                    <w:bookmarkEnd w:id="0"/>
                    <w:r w:rsidRPr="004F5BDC">
                      <w:rPr>
                        <w:rStyle w:val="a4"/>
                        <w:b/>
                        <w:color w:val="auto"/>
                        <w:u w:val="none"/>
                      </w:rPr>
                      <w:t>по установлению на федеральном, региональном и местном уровнях систем оплаты труда работников государственных и муниципальных учреждений на 2026 год</w:t>
                    </w:r>
                  </w:hyperlink>
                </w:p>
                <w:p w:rsidR="004F5BDC" w:rsidRPr="0080747D" w:rsidRDefault="004F5BDC" w:rsidP="00695A67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4F5BDC" w:rsidRPr="00D25ADA" w:rsidRDefault="004F5BDC" w:rsidP="00695A67">
                  <w:pPr>
                    <w:tabs>
                      <w:tab w:val="left" w:pos="709"/>
                    </w:tabs>
                    <w:spacing w:line="276" w:lineRule="auto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4F5BDC" w:rsidRDefault="004F5BDC" w:rsidP="00695A6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F5BDC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трёхсторонняя комиссия подготовила единые рекомендации на 2026 год. Документ разработан в соответствии со </w:t>
            </w:r>
            <w:hyperlink r:id="rId8" w:anchor="/document/12125268/entry/135" w:history="1">
              <w:r>
                <w:rPr>
                  <w:rStyle w:val="a4"/>
                  <w:color w:val="3272C0"/>
                  <w:sz w:val="23"/>
                  <w:szCs w:val="23"/>
                </w:rPr>
                <w:t>ст. 135</w:t>
              </w:r>
            </w:hyperlink>
            <w:r>
              <w:rPr>
                <w:color w:val="22272F"/>
                <w:sz w:val="23"/>
                <w:szCs w:val="23"/>
              </w:rPr>
              <w:t xml:space="preserve"> ТК РФ и задаёт единые подходы к регулированию зарплаты в организациях бюджетной </w:t>
            </w:r>
            <w:proofErr w:type="spellStart"/>
            <w:r>
              <w:rPr>
                <w:color w:val="22272F"/>
                <w:sz w:val="23"/>
                <w:szCs w:val="23"/>
              </w:rPr>
              <w:t>сферы.Рекомендации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учитывают Правительство РФ, органы власти субъектов РФ и местное самоуправление. На них ориентируются, когда определяют объёмы финансового обеспечения учреждений и готовят законы и иные нормативные правовые акты по оплате труда работников государственных и муниципальных учреждений. Их также используют региональные и муниципальные трёхсторонние комиссии при подготовке соглашений и рекомендаций по организации оплаты труда на 2026 год.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 документе отдельно прописан порядок социального партнёрства: проекты актов по оплате труда и материалы к ним направляют на рассмотрение соответствующим профсоюзам (объединениям профсоюзов), а их заключения рассматривают в обязательном порядке.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Среди принципов формирования систем оплаты труда названы, в частности, недопущение ухудшения условий и снижения размеров оплаты труда по сравнению с гарантиями трудового законодательства. Там же указан ориентир на повышение реального содержания заработной платы, включая индексацию. Отдельно оговорено: не допускать снижения уровня заработной платы, достигнутого в 2025 году.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 рекомендациях есть отраслевые блоки, в том числе для образования, здравоохранения, культуры и др. Среди ориентиров при установлении и изменении систем оплаты труда упомянуты выплаты за наставничество (со ссылкой на </w:t>
            </w:r>
            <w:hyperlink r:id="rId9" w:anchor="/document/12125268/entry/3518" w:history="1">
              <w:r>
                <w:rPr>
                  <w:rStyle w:val="a4"/>
                  <w:color w:val="3272C0"/>
                  <w:sz w:val="23"/>
                  <w:szCs w:val="23"/>
                </w:rPr>
                <w:t>ст. 351.8</w:t>
              </w:r>
            </w:hyperlink>
            <w:r>
              <w:rPr>
                <w:color w:val="22272F"/>
                <w:sz w:val="23"/>
                <w:szCs w:val="23"/>
              </w:rPr>
              <w:t> ТК РФ).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Для ряда сфер в рекомендациях приведены ориентиры по доле выплат по окладам (должностным окладам) и ставкам заработной платы в структуре оплаты труда (с оговорками о составе учитываемых выплат). Речь именно о рекомендациях, а не об обязательных нормах: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образование - направлять не менее 70% фонда оплаты труда на установление окладов (должностных окладов) и ставок заработной платы (с оговорками по составу исключаемых выплат);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физическая культура и спорт - направлять не менее 70% фонда оплаты труда на установление окладов (должностных окладов) и ставок заработной платы (без учёта части фонда, предназначенной на компенсационные выплаты);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здравоохранение - обеспечивать долю выплат по окладам не ниже 50% (без учёта компенсационных выплат);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культура - направлять на выплаты по окладам не менее 50% заработной платы (без учёта компенсаций за работу в местностях с особыми климатическими условиями);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В отраслевых разделах этот акцент на доле окладов увязывают с задачами сохранения и развития кадрового потенциала, повышения престижности профессий и снижения </w:t>
            </w:r>
            <w:proofErr w:type="spellStart"/>
            <w:r>
              <w:rPr>
                <w:color w:val="22272F"/>
                <w:sz w:val="23"/>
                <w:szCs w:val="23"/>
              </w:rPr>
              <w:t>внутрирегиональной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дифференциации. По сути, речь о том, чтобы большая часть заработка приходилась на фиксированную часть, а компенсационные и стимулирующие выплаты оставались надстройкой над ней.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Кроме того, для образовательных учреждений и учреждений культуры рекомендовано ограничивать долю расходов на оплату административно-управленческого и вспомогательного персонала в фонде оплаты труда: не более 40%. Этот ориентир помогает сдерживать рост управленческих расходов и сохранять больший ресурс фонда на оплату труда в целом.</w:t>
            </w:r>
          </w:p>
          <w:p w:rsidR="004F5BDC" w:rsidRDefault="004F5BDC" w:rsidP="004F5BD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Учреждениям стоит проверить, как в документах работодателя закреплены фиксированные размеры окладов и ставок и условия оплаты труда, перечни и условия компенсационных и стимулирующих выплат, порядок выплат за наставничество (если он предусмотрен), а также соотношение окладов и выплат компенсационного и стимулирующего характера.</w:t>
            </w:r>
          </w:p>
          <w:p w:rsidR="004F5BDC" w:rsidRDefault="004F5BDC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DC" w:rsidRDefault="004F5BDC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DC" w:rsidRDefault="004F5BDC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DC" w:rsidRPr="00984D60" w:rsidRDefault="004F5BDC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DC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C" w:rsidRDefault="004F5BDC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F5BDC" w:rsidRPr="00D52B05" w:rsidRDefault="004F5BDC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F5BDC" w:rsidRPr="00D52B05" w:rsidRDefault="004F5BDC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F5BDC" w:rsidRPr="00D52B05" w:rsidRDefault="004F5BDC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2026</w:t>
            </w:r>
          </w:p>
          <w:p w:rsidR="004F5BDC" w:rsidRDefault="004F5BDC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F5BDC" w:rsidRPr="00E051E0" w:rsidRDefault="004F5BDC" w:rsidP="004F5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4F5BDC" w:rsidRDefault="004F5BDC" w:rsidP="004F5BDC"/>
    <w:p w:rsidR="001339BF" w:rsidRDefault="004F5BDC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DC"/>
    <w:rsid w:val="001545F9"/>
    <w:rsid w:val="004F5BDC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2EED"/>
  <w15:chartTrackingRefBased/>
  <w15:docId w15:val="{D02F4F5A-6E57-463C-8683-1519F9C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F5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F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5BDC"/>
    <w:rPr>
      <w:color w:val="0000FF"/>
      <w:u w:val="single"/>
    </w:rPr>
  </w:style>
  <w:style w:type="paragraph" w:customStyle="1" w:styleId="s1">
    <w:name w:val="s_1"/>
    <w:basedOn w:val="a"/>
    <w:rsid w:val="004F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2026-02-05T09:07:00Z</cp:lastPrinted>
  <dcterms:created xsi:type="dcterms:W3CDTF">2026-02-05T09:04:00Z</dcterms:created>
  <dcterms:modified xsi:type="dcterms:W3CDTF">2026-02-05T09:08:00Z</dcterms:modified>
</cp:coreProperties>
</file>