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317CCF" w:rsidTr="004A1D14">
        <w:trPr>
          <w:trHeight w:val="3954"/>
        </w:trPr>
        <w:tc>
          <w:tcPr>
            <w:tcW w:w="11199" w:type="dxa"/>
          </w:tcPr>
          <w:p w:rsidR="00317CCF" w:rsidRPr="00726C3F" w:rsidRDefault="00317CCF" w:rsidP="004A1D14">
            <w:pPr>
              <w:pStyle w:val="ConsPlusNormal"/>
              <w:jc w:val="both"/>
              <w:rPr>
                <w:b/>
                <w:color w:val="FF0000"/>
                <w:sz w:val="40"/>
                <w:szCs w:val="40"/>
                <w:lang w:eastAsia="en-US"/>
              </w:rPr>
            </w:pPr>
            <w:r>
              <w:rPr>
                <w:b/>
                <w:color w:val="FF0000"/>
                <w:sz w:val="40"/>
                <w:szCs w:val="40"/>
                <w:lang w:eastAsia="en-US"/>
              </w:rPr>
              <w:t>2024</w:t>
            </w:r>
            <w:r w:rsidRPr="00726C3F">
              <w:rPr>
                <w:b/>
                <w:color w:val="FF0000"/>
                <w:sz w:val="40"/>
                <w:szCs w:val="40"/>
                <w:lang w:eastAsia="en-US"/>
              </w:rPr>
              <w:t>:</w:t>
            </w:r>
            <w:r>
              <w:rPr>
                <w:b/>
                <w:color w:val="FF0000"/>
                <w:sz w:val="40"/>
                <w:szCs w:val="40"/>
                <w:lang w:eastAsia="en-US"/>
              </w:rPr>
              <w:t xml:space="preserve"> </w:t>
            </w:r>
            <w:r w:rsidRPr="00726C3F">
              <w:rPr>
                <w:b/>
                <w:color w:val="FF0000"/>
                <w:sz w:val="40"/>
                <w:szCs w:val="40"/>
                <w:lang w:eastAsia="en-US"/>
              </w:rPr>
              <w:t xml:space="preserve">ГОД ОРГАНИЗАЦИОННО-КАДРОВОГО ЕДИНСТВА </w:t>
            </w: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317CCF" w:rsidTr="004A1D14">
              <w:trPr>
                <w:trHeight w:val="2611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7CCF" w:rsidRDefault="00317CCF" w:rsidP="004A1D14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B293F4E" wp14:editId="686E623C">
                        <wp:extent cx="1798320" cy="1973580"/>
                        <wp:effectExtent l="0" t="0" r="0" b="7620"/>
                        <wp:docPr id="13" name="Рисунок 13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6DBB7BE6" wp14:editId="4C8D1A2B">
                        <wp:extent cx="1036320" cy="1501140"/>
                        <wp:effectExtent l="0" t="0" r="0" b="3810"/>
                        <wp:docPr id="14" name="Рисунок 14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25ADA">
                    <w:rPr>
                      <w:color w:val="FF0000"/>
                      <w:sz w:val="28"/>
                      <w:szCs w:val="28"/>
                      <w:lang w:eastAsia="en-US"/>
                    </w:rPr>
                    <w:t>Правовая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25ADA">
                    <w:rPr>
                      <w:color w:val="4472C4" w:themeColor="accent5"/>
                      <w:sz w:val="28"/>
                      <w:szCs w:val="28"/>
                      <w:lang w:eastAsia="en-US"/>
                    </w:rPr>
                    <w:t xml:space="preserve">инспекция </w:t>
                  </w:r>
                  <w:r w:rsidRPr="00D25ADA">
                    <w:rPr>
                      <w:color w:val="70AD47" w:themeColor="accent6"/>
                      <w:sz w:val="28"/>
                      <w:szCs w:val="28"/>
                      <w:lang w:eastAsia="en-US"/>
                    </w:rPr>
                    <w:t>труда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7CCF" w:rsidRDefault="00317CCF" w:rsidP="004A1D14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317CCF" w:rsidRPr="006355F5" w:rsidRDefault="00317CCF" w:rsidP="004A1D14">
                  <w:pPr>
                    <w:jc w:val="both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317CCF" w:rsidRDefault="00317CCF" w:rsidP="004A1D14">
                  <w:pPr>
                    <w:pStyle w:val="ConsPlusTitle"/>
                    <w:jc w:val="both"/>
                  </w:pPr>
                </w:p>
                <w:p w:rsidR="00317CCF" w:rsidRPr="00A037AE" w:rsidRDefault="00117A19" w:rsidP="004A1D14">
                  <w:pPr>
                    <w:pStyle w:val="ConsPlusTitle"/>
                    <w:jc w:val="both"/>
                    <w:rPr>
                      <w:color w:val="222A35" w:themeColor="text2" w:themeShade="80"/>
                      <w:lang w:eastAsia="en-US"/>
                    </w:rPr>
                  </w:pPr>
                  <w:hyperlink r:id="rId6" w:history="1">
                    <w:r w:rsidR="00317CCF" w:rsidRPr="00A037AE">
                      <w:rPr>
                        <w:rStyle w:val="a4"/>
                        <w:color w:val="222A35" w:themeColor="text2" w:themeShade="8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317CCF" w:rsidRPr="00A037AE" w:rsidRDefault="00317CCF" w:rsidP="004A1D14">
                  <w:pPr>
                    <w:pStyle w:val="ConsPlusTitle"/>
                    <w:jc w:val="both"/>
                    <w:rPr>
                      <w:color w:val="222A35" w:themeColor="text2" w:themeShade="80"/>
                      <w:sz w:val="32"/>
                      <w:szCs w:val="32"/>
                      <w:lang w:eastAsia="en-US"/>
                    </w:rPr>
                  </w:pPr>
                </w:p>
                <w:p w:rsidR="00317CCF" w:rsidRDefault="00317CCF" w:rsidP="004A1D14">
                  <w:pPr>
                    <w:pStyle w:val="ConsPlusTitle"/>
                    <w:jc w:val="both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  <w:r w:rsidRPr="00A037AE">
                    <w:rPr>
                      <w:color w:val="FF0000"/>
                      <w:sz w:val="32"/>
                      <w:szCs w:val="32"/>
                      <w:lang w:eastAsia="en-US"/>
                    </w:rPr>
                    <w:t>Информационный листок №</w:t>
                  </w:r>
                  <w:r w:rsidR="00117A19">
                    <w:rPr>
                      <w:color w:val="FF0000"/>
                      <w:sz w:val="32"/>
                      <w:szCs w:val="32"/>
                      <w:lang w:eastAsia="en-US"/>
                    </w:rPr>
                    <w:t>46</w:t>
                  </w:r>
                  <w:bookmarkStart w:id="0" w:name="_GoBack"/>
                  <w:bookmarkEnd w:id="0"/>
                </w:p>
                <w:p w:rsidR="00317CCF" w:rsidRPr="00A037AE" w:rsidRDefault="00317CCF" w:rsidP="004A1D14">
                  <w:pPr>
                    <w:pStyle w:val="ConsPlusTitle"/>
                    <w:jc w:val="both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</w:p>
                <w:p w:rsidR="00317CCF" w:rsidRDefault="00317CCF" w:rsidP="00317CCF">
                  <w:pPr>
                    <w:pStyle w:val="s74"/>
                    <w:shd w:val="clear" w:color="auto" w:fill="F0E9D3"/>
                    <w:spacing w:before="240" w:beforeAutospacing="0" w:after="240" w:afterAutospacing="0"/>
                    <w:jc w:val="both"/>
                    <w:rPr>
                      <w:color w:val="464C55"/>
                      <w:sz w:val="23"/>
                      <w:szCs w:val="23"/>
                    </w:rPr>
                  </w:pPr>
                  <w:r>
                    <w:rPr>
                      <w:rStyle w:val="s10"/>
                      <w:b/>
                      <w:bCs/>
                      <w:color w:val="464C55"/>
                      <w:sz w:val="23"/>
                      <w:szCs w:val="23"/>
                    </w:rPr>
                    <w:t>ВС РФ признал законным положение Порядка предоставления педагогам длительного отпуска в части оплаты за счет средств, полученных от приносящей доход деятельности</w:t>
                  </w:r>
                </w:p>
                <w:p w:rsidR="00317CCF" w:rsidRPr="002E7E79" w:rsidRDefault="00317CCF" w:rsidP="004A1D14">
                  <w:pPr>
                    <w:pStyle w:val="s74"/>
                    <w:shd w:val="clear" w:color="auto" w:fill="F0E9D3"/>
                    <w:spacing w:before="240" w:beforeAutospacing="0" w:after="240" w:afterAutospacing="0"/>
                    <w:jc w:val="both"/>
                    <w:rPr>
                      <w:b/>
                      <w:bCs/>
                      <w:color w:val="C45911" w:themeColor="accent2" w:themeShade="BF"/>
                      <w:kern w:val="36"/>
                      <w:sz w:val="28"/>
                      <w:szCs w:val="28"/>
                    </w:rPr>
                  </w:pPr>
                </w:p>
              </w:tc>
            </w:tr>
          </w:tbl>
          <w:p w:rsidR="00317CCF" w:rsidRDefault="00317CCF" w:rsidP="004A1D14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317CCF" w:rsidRPr="00502D2A" w:rsidTr="004A1D14">
        <w:tc>
          <w:tcPr>
            <w:tcW w:w="11199" w:type="dxa"/>
          </w:tcPr>
          <w:p w:rsidR="00317CCF" w:rsidRDefault="00317CCF" w:rsidP="00317CCF">
            <w:pPr>
              <w:pStyle w:val="s1"/>
              <w:jc w:val="both"/>
              <w:rPr>
                <w:color w:val="22272F"/>
                <w:sz w:val="23"/>
                <w:szCs w:val="23"/>
              </w:rPr>
            </w:pPr>
            <w:hyperlink r:id="rId7" w:anchor="/document/409653047/entry/0" w:history="1">
              <w:r>
                <w:rPr>
                  <w:rStyle w:val="a4"/>
                  <w:color w:val="3272C0"/>
                  <w:sz w:val="23"/>
                  <w:szCs w:val="23"/>
                </w:rPr>
                <w:t>Решение Верховного Суда РФ от 21 августа 2024 г. N АКПИ24-465</w:t>
              </w:r>
            </w:hyperlink>
          </w:p>
          <w:p w:rsidR="00317CCF" w:rsidRDefault="00317CCF" w:rsidP="00317CCF">
            <w:pPr>
              <w:pStyle w:val="s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Преподаватель частного образовательного учреждения обратился в Верховный Суд РФ с административным исковым заявлением о признании не действующим </w:t>
            </w:r>
            <w:hyperlink r:id="rId8" w:anchor="/document/71424792/entry/1005" w:history="1">
              <w:r>
                <w:rPr>
                  <w:rStyle w:val="a4"/>
                  <w:color w:val="CC3333"/>
                  <w:sz w:val="23"/>
                  <w:szCs w:val="23"/>
                </w:rPr>
                <w:t>пункта 5</w:t>
              </w:r>
            </w:hyperlink>
            <w:r>
              <w:rPr>
                <w:color w:val="22272F"/>
                <w:sz w:val="23"/>
                <w:szCs w:val="23"/>
              </w:rPr>
              <w:t> Порядка предоставления педагогическим работникам организаций, осуществляющих образовательную деятельность, длительного отпуска сроком до одного года (утв. </w:t>
            </w:r>
            <w:hyperlink r:id="rId9" w:anchor="/document/71424792/entry/0" w:history="1">
              <w:r>
                <w:rPr>
                  <w:rStyle w:val="a4"/>
                  <w:color w:val="3272C0"/>
                  <w:sz w:val="23"/>
                  <w:szCs w:val="23"/>
                </w:rPr>
                <w:t>приказом</w:t>
              </w:r>
            </w:hyperlink>
            <w:r>
              <w:rPr>
                <w:color w:val="22272F"/>
                <w:sz w:val="23"/>
                <w:szCs w:val="23"/>
              </w:rPr>
              <w:t> </w:t>
            </w:r>
            <w:proofErr w:type="spellStart"/>
            <w:r>
              <w:rPr>
                <w:color w:val="22272F"/>
                <w:sz w:val="23"/>
                <w:szCs w:val="23"/>
              </w:rPr>
              <w:t>Минобрнауки</w:t>
            </w:r>
            <w:proofErr w:type="spellEnd"/>
            <w:r>
              <w:rPr>
                <w:color w:val="22272F"/>
                <w:sz w:val="23"/>
                <w:szCs w:val="23"/>
              </w:rPr>
              <w:t xml:space="preserve"> РФ от 31.05.2016 N 644, далее - Порядок) в части определения коллективным договором оплаты длительного отпуска за счёт средств, полученных организацией от приносящей доход деятельности.</w:t>
            </w:r>
          </w:p>
          <w:p w:rsidR="00317CCF" w:rsidRDefault="00117A19" w:rsidP="00317CCF">
            <w:pPr>
              <w:pStyle w:val="s1"/>
              <w:jc w:val="both"/>
              <w:rPr>
                <w:color w:val="22272F"/>
                <w:sz w:val="23"/>
                <w:szCs w:val="23"/>
              </w:rPr>
            </w:pPr>
            <w:hyperlink r:id="rId10" w:anchor="/document/71424792/entry/1005" w:history="1">
              <w:r w:rsidR="00317CCF">
                <w:rPr>
                  <w:rStyle w:val="a4"/>
                  <w:color w:val="3272C0"/>
                  <w:sz w:val="23"/>
                  <w:szCs w:val="23"/>
                </w:rPr>
                <w:t>Пункт 5</w:t>
              </w:r>
            </w:hyperlink>
            <w:r w:rsidR="00317CCF">
              <w:rPr>
                <w:color w:val="22272F"/>
                <w:sz w:val="23"/>
                <w:szCs w:val="23"/>
              </w:rPr>
              <w:t> Порядка предусматривает, что продолжительность длительного отпуска, очерёдность его предоставления, разделение его на части, продление на основании листка нетрудоспособности в период нахождения в длительном отпуске, присоединение длительного отпуска к ежегодному основному оплачиваемому отпуску, предоставление длительного отпуска работающим по совместительству, оплата за счёт средств, полученных организацией от приносящей доход деятельности, и другие вопросы, не предусмотренные настоящим Порядком, определяются коллективным договором.</w:t>
            </w:r>
          </w:p>
          <w:p w:rsidR="00317CCF" w:rsidRDefault="00317CCF" w:rsidP="00317CCF">
            <w:pPr>
              <w:pStyle w:val="s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Суд пояснил, что оспариваемое законоположение не устанавливает обязанность образовательной организации оплачивать длительный отпуск за счёт средств, полученных организацией от приносящей доход деятельности, а лишь указывает на возможность закрепления такого решения в коллективном договоре в случае его принятия.</w:t>
            </w:r>
          </w:p>
          <w:p w:rsidR="00317CCF" w:rsidRDefault="00317CCF" w:rsidP="00317CCF">
            <w:pPr>
              <w:pStyle w:val="s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Из </w:t>
            </w:r>
            <w:hyperlink r:id="rId11" w:anchor="/document/12125268/entry/335" w:history="1">
              <w:r>
                <w:rPr>
                  <w:rStyle w:val="a4"/>
                  <w:color w:val="3272C0"/>
                  <w:sz w:val="23"/>
                  <w:szCs w:val="23"/>
                </w:rPr>
                <w:t>ст. 335</w:t>
              </w:r>
            </w:hyperlink>
            <w:r>
              <w:rPr>
                <w:color w:val="22272F"/>
                <w:sz w:val="23"/>
                <w:szCs w:val="23"/>
              </w:rPr>
              <w:t> ТК РФ, </w:t>
            </w:r>
            <w:hyperlink r:id="rId12" w:anchor="/document/70291362/entry/108575" w:history="1">
              <w:r>
                <w:rPr>
                  <w:rStyle w:val="a4"/>
                  <w:color w:val="3272C0"/>
                  <w:sz w:val="23"/>
                  <w:szCs w:val="23"/>
                </w:rPr>
                <w:t>п. 4 ч. 6 ст. 47</w:t>
              </w:r>
            </w:hyperlink>
            <w:r>
              <w:rPr>
                <w:color w:val="22272F"/>
                <w:sz w:val="23"/>
                <w:szCs w:val="23"/>
              </w:rPr>
              <w:t> Закона об образовании, </w:t>
            </w:r>
            <w:hyperlink r:id="rId13" w:anchor="/document/71424792/entry/1005" w:history="1">
              <w:r>
                <w:rPr>
                  <w:rStyle w:val="a4"/>
                  <w:color w:val="3272C0"/>
                  <w:sz w:val="23"/>
                  <w:szCs w:val="23"/>
                </w:rPr>
                <w:t>п. 5</w:t>
              </w:r>
            </w:hyperlink>
            <w:r>
              <w:rPr>
                <w:color w:val="22272F"/>
                <w:sz w:val="23"/>
                <w:szCs w:val="23"/>
              </w:rPr>
              <w:t> Порядка следует, что дополнительный отпуск педагогических работников может быть как оплачиваемым, так и нет, в зависимости от условий, закреплённых в коллективном договоре, что не противоречит положениям действующего законодательства.</w:t>
            </w:r>
          </w:p>
          <w:p w:rsidR="00317CCF" w:rsidRDefault="00317CCF" w:rsidP="00317CCF">
            <w:pPr>
              <w:pStyle w:val="s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Законодатель, гарантируя педагогическим работникам возможность воспользоваться своим правом на длительный отпуск и не определяя его как отпуск без сохранения заработной платы, оставляет возможность такой оплаты на усмотрение работодателя за счёт средств, полученных образовательной организацией от приносящей доход деятельности.</w:t>
            </w:r>
          </w:p>
          <w:p w:rsidR="00317CCF" w:rsidRPr="00BF67BB" w:rsidRDefault="00317CCF" w:rsidP="00317CCF"/>
          <w:p w:rsidR="00317CCF" w:rsidRPr="00707A25" w:rsidRDefault="00317CCF" w:rsidP="004A1D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7CCF" w:rsidTr="004A1D14">
        <w:tc>
          <w:tcPr>
            <w:tcW w:w="11199" w:type="dxa"/>
          </w:tcPr>
          <w:p w:rsidR="00317CCF" w:rsidRDefault="00317CCF" w:rsidP="004A1D1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317CCF" w:rsidRPr="00D52B05" w:rsidRDefault="00317CCF" w:rsidP="004A1D1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317CCF" w:rsidRPr="00D52B05" w:rsidRDefault="00317CCF" w:rsidP="004A1D1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40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317CCF" w:rsidRPr="00D52B05" w:rsidRDefault="00317CCF" w:rsidP="004A1D1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октябрь, 2024</w:t>
            </w:r>
          </w:p>
          <w:p w:rsidR="00317CCF" w:rsidRDefault="00117A19" w:rsidP="004A1D1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14" w:history="1">
              <w:r w:rsidR="00317CCF"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317CCF" w:rsidRDefault="00317CCF" w:rsidP="00317CCF"/>
    <w:p w:rsidR="00317CCF" w:rsidRDefault="00317CCF" w:rsidP="00317CCF"/>
    <w:p w:rsidR="00317CCF" w:rsidRDefault="00317CCF" w:rsidP="00317CCF"/>
    <w:p w:rsidR="00317CCF" w:rsidRDefault="00317CCF" w:rsidP="00317CCF"/>
    <w:p w:rsidR="001339BF" w:rsidRDefault="00117A19"/>
    <w:sectPr w:rsidR="00133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CCF"/>
    <w:rsid w:val="00117A19"/>
    <w:rsid w:val="001545F9"/>
    <w:rsid w:val="00317CCF"/>
    <w:rsid w:val="00D4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82F22"/>
  <w15:chartTrackingRefBased/>
  <w15:docId w15:val="{C8F21752-0F69-4D1D-9D88-897259B9C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C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7C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317C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317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17CCF"/>
    <w:rPr>
      <w:color w:val="0000FF"/>
      <w:u w:val="single"/>
    </w:rPr>
  </w:style>
  <w:style w:type="paragraph" w:customStyle="1" w:styleId="s74">
    <w:name w:val="s_74"/>
    <w:basedOn w:val="a"/>
    <w:rsid w:val="00317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317CCF"/>
  </w:style>
  <w:style w:type="paragraph" w:customStyle="1" w:styleId="s1">
    <w:name w:val="s_1"/>
    <w:basedOn w:val="a"/>
    <w:rsid w:val="00317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17C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7C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bitr.garant.ru/" TargetMode="External"/><Relationship Id="rId13" Type="http://schemas.openxmlformats.org/officeDocument/2006/relationships/hyperlink" Target="https://arbitr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rbitr.garant.ru/" TargetMode="External"/><Relationship Id="rId12" Type="http://schemas.openxmlformats.org/officeDocument/2006/relationships/hyperlink" Target="https://arbitr.garant.ru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11" Type="http://schemas.openxmlformats.org/officeDocument/2006/relationships/hyperlink" Target="https://arbitr.garant.ru/" TargetMode="External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hyperlink" Target="https://arbitr.garant.ru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arbitr.garant.ru/" TargetMode="External"/><Relationship Id="rId14" Type="http://schemas.openxmlformats.org/officeDocument/2006/relationships/hyperlink" Target="https://www.eseur.ru/kalug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2024-10-01T07:05:00Z</cp:lastPrinted>
  <dcterms:created xsi:type="dcterms:W3CDTF">2024-10-01T07:04:00Z</dcterms:created>
  <dcterms:modified xsi:type="dcterms:W3CDTF">2024-10-03T07:51:00Z</dcterms:modified>
</cp:coreProperties>
</file>