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826E94" w:rsidTr="00E96868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94" w:rsidRPr="00726C3F" w:rsidRDefault="00826E94" w:rsidP="00E96868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037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5517"/>
            </w:tblGrid>
            <w:tr w:rsidR="00826E94" w:rsidTr="00E96868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6E94" w:rsidRDefault="00826E94" w:rsidP="00E96868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A5B7000" wp14:editId="00E4A63E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5ECA3DC3" wp14:editId="0FB04640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26E94" w:rsidRDefault="00826E94" w:rsidP="00E9686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826E94" w:rsidRPr="006355F5" w:rsidRDefault="00826E94" w:rsidP="00E96868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826E94" w:rsidRDefault="00826E94" w:rsidP="00E96868">
                  <w:pPr>
                    <w:pStyle w:val="ConsPlusTitle"/>
                    <w:jc w:val="center"/>
                  </w:pPr>
                </w:p>
                <w:p w:rsidR="00826E94" w:rsidRPr="00A037AE" w:rsidRDefault="00826E94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826E94" w:rsidRPr="00A037AE" w:rsidRDefault="00826E94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826E94" w:rsidRPr="00A037AE" w:rsidRDefault="00826E94" w:rsidP="00E96868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>
                    <w:rPr>
                      <w:color w:val="FF0000"/>
                      <w:sz w:val="32"/>
                      <w:szCs w:val="32"/>
                      <w:lang w:eastAsia="en-US"/>
                    </w:rPr>
                    <w:t>46</w:t>
                  </w:r>
                </w:p>
                <w:p w:rsidR="00826E94" w:rsidRPr="0080747D" w:rsidRDefault="00826E94" w:rsidP="00E96868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826E94" w:rsidRPr="00D936AB" w:rsidRDefault="00826E94" w:rsidP="00E96868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СОУТ и новый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профстандарт</w:t>
                  </w:r>
                  <w:proofErr w:type="spellEnd"/>
                </w:p>
              </w:tc>
            </w:tr>
          </w:tbl>
          <w:p w:rsidR="00826E94" w:rsidRDefault="00826E94" w:rsidP="00E96868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26E94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94" w:rsidRDefault="00826E94" w:rsidP="00826E94">
            <w:pPr>
              <w:pStyle w:val="s74"/>
              <w:shd w:val="clear" w:color="auto" w:fill="F5EFDF"/>
              <w:spacing w:before="240" w:beforeAutospacing="0" w:after="240" w:afterAutospacing="0"/>
              <w:jc w:val="both"/>
              <w:rPr>
                <w:color w:val="232222"/>
                <w:sz w:val="23"/>
                <w:szCs w:val="23"/>
              </w:rPr>
            </w:pPr>
            <w:r>
              <w:rPr>
                <w:rStyle w:val="s10"/>
                <w:b/>
                <w:bCs/>
                <w:color w:val="232222"/>
                <w:sz w:val="23"/>
                <w:szCs w:val="23"/>
              </w:rPr>
              <w:t xml:space="preserve">Декларацию СОУТ с 1 марта 2027 года можно будет подать только через </w:t>
            </w:r>
            <w:proofErr w:type="spellStart"/>
            <w:r>
              <w:rPr>
                <w:rStyle w:val="s10"/>
                <w:b/>
                <w:bCs/>
                <w:color w:val="232222"/>
                <w:sz w:val="23"/>
                <w:szCs w:val="23"/>
              </w:rPr>
              <w:t>Госуслуги</w:t>
            </w:r>
            <w:proofErr w:type="spellEnd"/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hyperlink r:id="rId7" w:anchor="/document/414855874/entry/0" w:history="1">
              <w:r>
                <w:rPr>
                  <w:rStyle w:val="a4"/>
                  <w:color w:val="3272C0"/>
                  <w:sz w:val="23"/>
                  <w:szCs w:val="23"/>
                </w:rPr>
                <w:t>Приказ Минтруда России от 10 июня 2026 г. № 246н (</w:t>
              </w:r>
              <w:proofErr w:type="spellStart"/>
              <w:r>
                <w:rPr>
                  <w:rStyle w:val="a4"/>
                  <w:color w:val="3272C0"/>
                  <w:sz w:val="23"/>
                  <w:szCs w:val="23"/>
                </w:rPr>
                <w:t>зарег</w:t>
              </w:r>
              <w:proofErr w:type="spellEnd"/>
              <w:r>
                <w:rPr>
                  <w:rStyle w:val="a4"/>
                  <w:color w:val="3272C0"/>
                  <w:sz w:val="23"/>
                  <w:szCs w:val="23"/>
                </w:rPr>
                <w:t>. в Минюсте 02.09.2026)</w:t>
              </w:r>
            </w:hyperlink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С 1 марта 2027 года изменяется </w:t>
            </w:r>
            <w:hyperlink r:id="rId8" w:anchor="/document/401555296/entry/2000" w:history="1">
              <w:r>
                <w:rPr>
                  <w:rStyle w:val="a4"/>
                  <w:color w:val="3272C0"/>
                  <w:sz w:val="23"/>
                  <w:szCs w:val="23"/>
                </w:rPr>
                <w:t>порядок</w:t>
              </w:r>
            </w:hyperlink>
            <w:r>
              <w:rPr>
                <w:color w:val="22272F"/>
                <w:sz w:val="23"/>
                <w:szCs w:val="23"/>
              </w:rPr>
              <w:t> подачи декларации соответствия условий труда государственным нормативным требованиям охраны труда. Единственным способом ее представления станет </w:t>
            </w:r>
            <w:hyperlink r:id="rId9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Единый портал</w:t>
              </w:r>
            </w:hyperlink>
            <w:r>
              <w:rPr>
                <w:color w:val="22272F"/>
                <w:sz w:val="23"/>
                <w:szCs w:val="23"/>
              </w:rPr>
              <w:t> государственных и муниципальных услуг. Подать документ лично или направить почтой больше будет нельзя.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Определены исчерпывающие основания для отказа в принятии декларации:</w:t>
            </w:r>
            <w:r>
              <w:rPr>
                <w:color w:val="22272F"/>
                <w:sz w:val="23"/>
                <w:szCs w:val="23"/>
              </w:rPr>
              <w:t xml:space="preserve"> </w:t>
            </w:r>
            <w:r>
              <w:rPr>
                <w:color w:val="22272F"/>
                <w:sz w:val="23"/>
                <w:szCs w:val="23"/>
              </w:rPr>
              <w:t>нед</w:t>
            </w:r>
            <w:r>
              <w:rPr>
                <w:color w:val="22272F"/>
                <w:sz w:val="23"/>
                <w:szCs w:val="23"/>
              </w:rPr>
              <w:t xml:space="preserve">остоверность указанных сведений; </w:t>
            </w:r>
            <w:r>
              <w:rPr>
                <w:color w:val="22272F"/>
                <w:sz w:val="23"/>
                <w:szCs w:val="23"/>
              </w:rPr>
              <w:t>включение в декларацию рабочих мест работников, чьи профессии, должности или специальности входят в списки для досрочного назначения пенсии по старости; наличие рабочих мест, за работу на которых предоставляются гарантии и компенсации за вредные или опасные условия труда; отсутствие в ФГИС СОУТ соответствующего отчета о проведении специальной оценки условий труда.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proofErr w:type="spellStart"/>
            <w:r>
              <w:rPr>
                <w:color w:val="22272F"/>
                <w:sz w:val="23"/>
                <w:szCs w:val="23"/>
              </w:rPr>
              <w:t>Роструд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обязан будет уведомить работодателя об отказе в течение 10 рабочих дней через личный кабинет на Едином портале.</w:t>
            </w:r>
          </w:p>
          <w:p w:rsidR="00826E94" w:rsidRDefault="00826E94" w:rsidP="00826E94">
            <w:pPr>
              <w:pStyle w:val="s74"/>
              <w:shd w:val="clear" w:color="auto" w:fill="F5EFDF"/>
              <w:spacing w:before="240" w:beforeAutospacing="0" w:after="240" w:afterAutospacing="0"/>
              <w:jc w:val="both"/>
              <w:rPr>
                <w:color w:val="232222"/>
                <w:sz w:val="23"/>
                <w:szCs w:val="23"/>
              </w:rPr>
            </w:pPr>
            <w:r>
              <w:rPr>
                <w:rStyle w:val="s10"/>
                <w:b/>
                <w:bCs/>
                <w:color w:val="232222"/>
                <w:sz w:val="23"/>
                <w:szCs w:val="23"/>
              </w:rPr>
              <w:t>Минтруд утвердил новый профессиональный стандарт для специалистов по охране труда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hyperlink r:id="rId10" w:anchor="/document/414849090/entry/0" w:history="1">
              <w:r>
                <w:rPr>
                  <w:rStyle w:val="a4"/>
                  <w:color w:val="3272C0"/>
                  <w:sz w:val="23"/>
                  <w:szCs w:val="23"/>
                </w:rPr>
                <w:t>Приказ Минтруда России от 30 июля 2026 г. № 324н (</w:t>
              </w:r>
              <w:proofErr w:type="spellStart"/>
              <w:r>
                <w:rPr>
                  <w:rStyle w:val="a4"/>
                  <w:color w:val="3272C0"/>
                  <w:sz w:val="23"/>
                  <w:szCs w:val="23"/>
                </w:rPr>
                <w:t>зарег</w:t>
              </w:r>
              <w:proofErr w:type="spellEnd"/>
              <w:r>
                <w:rPr>
                  <w:rStyle w:val="a4"/>
                  <w:color w:val="3272C0"/>
                  <w:sz w:val="23"/>
                  <w:szCs w:val="23"/>
                </w:rPr>
                <w:t>. в Минюсте 02.09.2026)</w:t>
              </w:r>
            </w:hyperlink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Утвержден новый профессиональный стандарт "Специалист в области охраны труда". Документ вступит в силу 1 марта 2027 года.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отличие от действующего в настоящее время </w:t>
            </w:r>
            <w:hyperlink r:id="rId11" w:anchor="/document/400807881/entry/0" w:history="1">
              <w:r>
                <w:rPr>
                  <w:rStyle w:val="a4"/>
                  <w:color w:val="3272C0"/>
                  <w:sz w:val="23"/>
                  <w:szCs w:val="23"/>
                </w:rPr>
                <w:t>аналогичного стандарта</w:t>
              </w:r>
            </w:hyperlink>
            <w:r>
              <w:rPr>
                <w:color w:val="22272F"/>
                <w:sz w:val="23"/>
                <w:szCs w:val="23"/>
              </w:rPr>
              <w:t> новый профессиональный стандарт включает краткое описание вида профессиональной деятельности: профилактика несчастных случаев на производстве и профессиональных заболеваний, снижение уровня воздействия (устранение воздействия) на работников вредных и (или) опасных производственных факторов, оценка и снижение уровня профессиональных рисков, разработка мероприятий по улучшению условий и охраны труда.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Кроме того, расширены виды экономической деятельности, в которых применим профессиональный стандарт: добавлена деятельность по оценке условий труда (код ОКВЭД </w:t>
            </w:r>
            <w:hyperlink r:id="rId12" w:anchor="/document/70650726/entry/71207" w:history="1">
              <w:r>
                <w:rPr>
                  <w:rStyle w:val="a4"/>
                  <w:color w:val="3272C0"/>
                  <w:sz w:val="23"/>
                  <w:szCs w:val="23"/>
                </w:rPr>
                <w:t>71.20.7</w:t>
              </w:r>
            </w:hyperlink>
            <w:r>
              <w:rPr>
                <w:color w:val="22272F"/>
                <w:sz w:val="23"/>
                <w:szCs w:val="23"/>
              </w:rPr>
              <w:t>).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Существенные изменения претерпела структура трудовых функций. Документом предусмотрены следующие категории обобщенных функций: обеспечение функционирования системы управления охраной </w:t>
            </w:r>
            <w:r>
              <w:rPr>
                <w:color w:val="22272F"/>
                <w:sz w:val="23"/>
                <w:szCs w:val="23"/>
              </w:rPr>
              <w:lastRenderedPageBreak/>
              <w:t>труда (СУОТ) в организации; организация, внедрение и оценка эффективности СУОТ; стратегическое управление профессиональными рисками в организации.</w:t>
            </w:r>
          </w:p>
          <w:p w:rsidR="00826E94" w:rsidRDefault="00826E94" w:rsidP="00826E94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В рамках указанных обобщенных групп скорректированы наименования существующих и введены новые трудовые функции. Одновременно с этим расширены перечни конкретных трудовых действий, а также актуализированы требования к необходимым знаниям и умениям специалистов.</w:t>
            </w:r>
          </w:p>
          <w:p w:rsidR="00826E94" w:rsidRPr="00D936AB" w:rsidRDefault="00826E94" w:rsidP="00E96868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</w:rPr>
            </w:pPr>
          </w:p>
        </w:tc>
      </w:tr>
      <w:tr w:rsidR="00826E94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94" w:rsidRDefault="00826E94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26E94" w:rsidRPr="00D52B05" w:rsidRDefault="00826E94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826E94" w:rsidRPr="00D52B05" w:rsidRDefault="00826E94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826E94" w:rsidRPr="00D52B05" w:rsidRDefault="00F03CD1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сентябр</w:t>
            </w:r>
            <w:bookmarkStart w:id="0" w:name="_GoBack"/>
            <w:bookmarkEnd w:id="0"/>
            <w:r w:rsidR="00826E94">
              <w:rPr>
                <w:rFonts w:ascii="Arial" w:hAnsi="Arial" w:cs="Arial"/>
                <w:b/>
                <w:sz w:val="16"/>
                <w:szCs w:val="16"/>
              </w:rPr>
              <w:t>ь, 2026</w:t>
            </w:r>
          </w:p>
          <w:p w:rsidR="00826E94" w:rsidRDefault="00826E94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13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826E94" w:rsidRPr="00E051E0" w:rsidRDefault="00826E94" w:rsidP="00826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BF" w:rsidRDefault="00F03CD1"/>
    <w:sectPr w:rsidR="00133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94"/>
    <w:rsid w:val="001545F9"/>
    <w:rsid w:val="00826E94"/>
    <w:rsid w:val="00D429DE"/>
    <w:rsid w:val="00F0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296B"/>
  <w15:chartTrackingRefBased/>
  <w15:docId w15:val="{93C6B4F2-52F1-40ED-8677-6F78C4EC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26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826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6E94"/>
    <w:rPr>
      <w:color w:val="0000FF"/>
      <w:u w:val="single"/>
    </w:rPr>
  </w:style>
  <w:style w:type="paragraph" w:customStyle="1" w:styleId="s1">
    <w:name w:val="s_1"/>
    <w:basedOn w:val="a"/>
    <w:rsid w:val="0082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74">
    <w:name w:val="s_74"/>
    <w:basedOn w:val="a"/>
    <w:rsid w:val="0082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26E94"/>
  </w:style>
  <w:style w:type="paragraph" w:styleId="a5">
    <w:name w:val="Balloon Text"/>
    <w:basedOn w:val="a"/>
    <w:link w:val="a6"/>
    <w:uiPriority w:val="99"/>
    <w:semiHidden/>
    <w:unhideWhenUsed/>
    <w:rsid w:val="00826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6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www.eseur.ru/kalug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2026-09-25T09:28:00Z</cp:lastPrinted>
  <dcterms:created xsi:type="dcterms:W3CDTF">2026-09-25T09:17:00Z</dcterms:created>
  <dcterms:modified xsi:type="dcterms:W3CDTF">2026-09-25T09:29:00Z</dcterms:modified>
</cp:coreProperties>
</file>