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BF1214" w:rsidTr="00E7747B">
        <w:trPr>
          <w:trHeight w:val="3954"/>
        </w:trPr>
        <w:tc>
          <w:tcPr>
            <w:tcW w:w="11199" w:type="dxa"/>
          </w:tcPr>
          <w:p w:rsidR="00BF1214" w:rsidRPr="00726C3F" w:rsidRDefault="00BF1214" w:rsidP="00E7747B">
            <w:pPr>
              <w:pStyle w:val="ConsPlusNormal"/>
              <w:jc w:val="both"/>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BF1214" w:rsidTr="00E7747B">
              <w:trPr>
                <w:trHeight w:val="2611"/>
              </w:trPr>
              <w:tc>
                <w:tcPr>
                  <w:tcW w:w="4859" w:type="dxa"/>
                  <w:tcBorders>
                    <w:top w:val="single" w:sz="4" w:space="0" w:color="auto"/>
                    <w:left w:val="single" w:sz="4" w:space="0" w:color="auto"/>
                    <w:bottom w:val="single" w:sz="4" w:space="0" w:color="auto"/>
                    <w:right w:val="single" w:sz="4" w:space="0" w:color="auto"/>
                  </w:tcBorders>
                  <w:hideMark/>
                </w:tcPr>
                <w:p w:rsidR="00BF1214" w:rsidRDefault="00BF1214" w:rsidP="00E7747B">
                  <w:pPr>
                    <w:pStyle w:val="ConsPlusNormal"/>
                    <w:tabs>
                      <w:tab w:val="left" w:pos="87"/>
                      <w:tab w:val="left" w:pos="3432"/>
                    </w:tabs>
                    <w:ind w:left="-234"/>
                    <w:jc w:val="both"/>
                    <w:rPr>
                      <w:sz w:val="28"/>
                      <w:szCs w:val="28"/>
                      <w:lang w:eastAsia="en-US"/>
                    </w:rPr>
                  </w:pPr>
                  <w:r>
                    <w:rPr>
                      <w:noProof/>
                    </w:rPr>
                    <w:drawing>
                      <wp:inline distT="0" distB="0" distL="0" distR="0" wp14:anchorId="4DA742E9" wp14:editId="24BECD06">
                        <wp:extent cx="1798320" cy="1973580"/>
                        <wp:effectExtent l="0" t="0" r="0" b="7620"/>
                        <wp:docPr id="13" name="Рисунок 13"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46CC13A1" wp14:editId="1E19E706">
                        <wp:extent cx="1036320" cy="1501140"/>
                        <wp:effectExtent l="0" t="0" r="0" b="3810"/>
                        <wp:docPr id="14" name="Рисунок 14"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BF1214" w:rsidRDefault="00BF1214" w:rsidP="00E7747B">
                  <w:pPr>
                    <w:jc w:val="both"/>
                    <w:rPr>
                      <w:b/>
                      <w:sz w:val="28"/>
                      <w:szCs w:val="28"/>
                    </w:rPr>
                  </w:pPr>
                  <w:r>
                    <w:rPr>
                      <w:b/>
                      <w:sz w:val="28"/>
                      <w:szCs w:val="28"/>
                    </w:rPr>
                    <w:t xml:space="preserve">КАЛУЖСКАЯ ОБЛАСТНАЯ ОРГАНИЗАЦИЯ </w:t>
                  </w:r>
                </w:p>
                <w:p w:rsidR="00BF1214" w:rsidRPr="006355F5" w:rsidRDefault="00BF1214" w:rsidP="00E7747B">
                  <w:pPr>
                    <w:jc w:val="both"/>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BF1214" w:rsidRDefault="00BF1214" w:rsidP="00E7747B">
                  <w:pPr>
                    <w:pStyle w:val="ConsPlusTitle"/>
                    <w:jc w:val="both"/>
                  </w:pPr>
                </w:p>
                <w:p w:rsidR="00BF1214" w:rsidRPr="00A037AE" w:rsidRDefault="00BF1214" w:rsidP="00E7747B">
                  <w:pPr>
                    <w:pStyle w:val="ConsPlusTitle"/>
                    <w:jc w:val="both"/>
                    <w:rPr>
                      <w:color w:val="222A35" w:themeColor="text2" w:themeShade="80"/>
                      <w:lang w:eastAsia="en-US"/>
                    </w:rPr>
                  </w:pPr>
                  <w:hyperlink r:id="rId6" w:history="1">
                    <w:r w:rsidRPr="00A037AE">
                      <w:rPr>
                        <w:rStyle w:val="a4"/>
                        <w:color w:val="222A35" w:themeColor="text2" w:themeShade="80"/>
                        <w:sz w:val="28"/>
                        <w:szCs w:val="28"/>
                      </w:rPr>
                      <w:t>https://www.eseur.ru/kaluga/</w:t>
                    </w:r>
                  </w:hyperlink>
                </w:p>
                <w:p w:rsidR="00BF1214" w:rsidRPr="00A037AE" w:rsidRDefault="00BF1214" w:rsidP="00E7747B">
                  <w:pPr>
                    <w:pStyle w:val="ConsPlusTitle"/>
                    <w:jc w:val="both"/>
                    <w:rPr>
                      <w:color w:val="222A35" w:themeColor="text2" w:themeShade="80"/>
                      <w:sz w:val="32"/>
                      <w:szCs w:val="32"/>
                      <w:lang w:eastAsia="en-US"/>
                    </w:rPr>
                  </w:pPr>
                </w:p>
                <w:p w:rsidR="00BF1214" w:rsidRPr="00A037AE" w:rsidRDefault="00BF1214" w:rsidP="00E7747B">
                  <w:pPr>
                    <w:pStyle w:val="ConsPlusTitle"/>
                    <w:jc w:val="both"/>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47</w:t>
                  </w:r>
                </w:p>
                <w:p w:rsidR="00BF1214" w:rsidRPr="002E7E79" w:rsidRDefault="00BF1214" w:rsidP="00BF1214">
                  <w:pPr>
                    <w:pStyle w:val="s74"/>
                    <w:shd w:val="clear" w:color="auto" w:fill="F0E9D3"/>
                    <w:spacing w:before="240" w:beforeAutospacing="0" w:after="240" w:afterAutospacing="0"/>
                    <w:jc w:val="center"/>
                    <w:rPr>
                      <w:b/>
                      <w:bCs/>
                      <w:color w:val="C45911" w:themeColor="accent2" w:themeShade="BF"/>
                      <w:kern w:val="36"/>
                      <w:sz w:val="28"/>
                      <w:szCs w:val="28"/>
                    </w:rPr>
                  </w:pPr>
                  <w:proofErr w:type="spellStart"/>
                  <w:r>
                    <w:rPr>
                      <w:rStyle w:val="s10"/>
                      <w:b/>
                      <w:bCs/>
                      <w:color w:val="464C55"/>
                      <w:sz w:val="23"/>
                      <w:szCs w:val="23"/>
                    </w:rPr>
                    <w:t>Роструд</w:t>
                  </w:r>
                  <w:proofErr w:type="spellEnd"/>
                  <w:r>
                    <w:rPr>
                      <w:rStyle w:val="s10"/>
                      <w:b/>
                      <w:bCs/>
                      <w:color w:val="464C55"/>
                      <w:sz w:val="23"/>
                      <w:szCs w:val="23"/>
                    </w:rPr>
                    <w:t xml:space="preserve"> разъясняет….</w:t>
                  </w:r>
                </w:p>
              </w:tc>
            </w:tr>
          </w:tbl>
          <w:p w:rsidR="00BF1214" w:rsidRDefault="00BF1214" w:rsidP="00E7747B">
            <w:pPr>
              <w:pStyle w:val="ConsPlusNormal"/>
              <w:jc w:val="both"/>
              <w:rPr>
                <w:sz w:val="28"/>
                <w:szCs w:val="28"/>
                <w:lang w:eastAsia="en-US"/>
              </w:rPr>
            </w:pPr>
          </w:p>
        </w:tc>
      </w:tr>
      <w:tr w:rsidR="00BF1214" w:rsidRPr="00502D2A" w:rsidTr="00E7747B">
        <w:tc>
          <w:tcPr>
            <w:tcW w:w="11199" w:type="dxa"/>
          </w:tcPr>
          <w:p w:rsidR="00BF1214" w:rsidRDefault="00BF1214" w:rsidP="00BF1214">
            <w:pPr>
              <w:pStyle w:val="s74"/>
              <w:shd w:val="clear" w:color="auto" w:fill="F0E9D3"/>
              <w:spacing w:before="240" w:beforeAutospacing="0" w:after="240" w:afterAutospacing="0"/>
              <w:jc w:val="both"/>
              <w:rPr>
                <w:color w:val="464C55"/>
                <w:sz w:val="23"/>
                <w:szCs w:val="23"/>
              </w:rPr>
            </w:pPr>
            <w:proofErr w:type="spellStart"/>
            <w:r>
              <w:rPr>
                <w:rStyle w:val="s10"/>
                <w:b/>
                <w:bCs/>
                <w:color w:val="464C55"/>
                <w:sz w:val="23"/>
                <w:szCs w:val="23"/>
              </w:rPr>
              <w:t>Роструд</w:t>
            </w:r>
            <w:proofErr w:type="spellEnd"/>
            <w:r>
              <w:rPr>
                <w:rStyle w:val="s10"/>
                <w:b/>
                <w:bCs/>
                <w:color w:val="464C55"/>
                <w:sz w:val="23"/>
                <w:szCs w:val="23"/>
              </w:rPr>
              <w:t xml:space="preserve"> разъяснил, можно ли уволиться по собственному желанию, находясь на больничном</w:t>
            </w:r>
          </w:p>
          <w:p w:rsidR="00BF1214" w:rsidRPr="00BF1214" w:rsidRDefault="00BF1214" w:rsidP="00BF1214">
            <w:pPr>
              <w:pStyle w:val="s1"/>
              <w:shd w:val="clear" w:color="auto" w:fill="FFFFFF"/>
              <w:jc w:val="both"/>
              <w:rPr>
                <w:sz w:val="23"/>
                <w:szCs w:val="23"/>
              </w:rPr>
            </w:pPr>
            <w:r>
              <w:rPr>
                <w:color w:val="22272F"/>
                <w:sz w:val="23"/>
                <w:szCs w:val="23"/>
              </w:rPr>
              <w:t xml:space="preserve">В </w:t>
            </w:r>
            <w:proofErr w:type="spellStart"/>
            <w:r>
              <w:rPr>
                <w:color w:val="22272F"/>
                <w:sz w:val="23"/>
                <w:szCs w:val="23"/>
              </w:rPr>
              <w:t>Роструде</w:t>
            </w:r>
            <w:proofErr w:type="spellEnd"/>
            <w:r>
              <w:rPr>
                <w:color w:val="22272F"/>
                <w:sz w:val="23"/>
                <w:szCs w:val="23"/>
              </w:rPr>
              <w:t xml:space="preserve"> напомнили, что правило, изложенное в </w:t>
            </w:r>
            <w:hyperlink r:id="rId7" w:anchor="/document/12125268/entry/8106" w:history="1">
              <w:r>
                <w:rPr>
                  <w:rStyle w:val="a4"/>
                  <w:color w:val="3272C0"/>
                  <w:sz w:val="23"/>
                  <w:szCs w:val="23"/>
                </w:rPr>
                <w:t>части шестой статьи 81</w:t>
              </w:r>
            </w:hyperlink>
            <w:r>
              <w:rPr>
                <w:color w:val="22272F"/>
                <w:sz w:val="23"/>
                <w:szCs w:val="23"/>
              </w:rPr>
              <w:t> ТК РФ, согласно которому не допускается увольнение работника в период его временной нетрудоспособности и в период пребывания в отпуске, применяется только для случаев увольнения по инициативе работодателя.</w:t>
            </w:r>
            <w:r>
              <w:rPr>
                <w:color w:val="22272F"/>
                <w:sz w:val="23"/>
                <w:szCs w:val="23"/>
              </w:rPr>
              <w:t xml:space="preserve"> </w:t>
            </w:r>
            <w:r w:rsidRPr="00BF1214">
              <w:rPr>
                <w:sz w:val="23"/>
                <w:szCs w:val="23"/>
              </w:rPr>
              <w:t>(</w:t>
            </w:r>
            <w:hyperlink r:id="rId8" w:anchor="/document/410527519/entry/0" w:history="1">
              <w:r w:rsidRPr="00BF1214">
                <w:rPr>
                  <w:rStyle w:val="a4"/>
                  <w:color w:val="auto"/>
                  <w:sz w:val="23"/>
                  <w:szCs w:val="23"/>
                </w:rPr>
                <w:t xml:space="preserve">Письмо </w:t>
              </w:r>
              <w:proofErr w:type="spellStart"/>
              <w:r w:rsidRPr="00BF1214">
                <w:rPr>
                  <w:rStyle w:val="a4"/>
                  <w:color w:val="auto"/>
                  <w:sz w:val="23"/>
                  <w:szCs w:val="23"/>
                </w:rPr>
                <w:t>Роструда</w:t>
              </w:r>
              <w:proofErr w:type="spellEnd"/>
              <w:r w:rsidRPr="00BF1214">
                <w:rPr>
                  <w:rStyle w:val="a4"/>
                  <w:color w:val="auto"/>
                  <w:sz w:val="23"/>
                  <w:szCs w:val="23"/>
                </w:rPr>
                <w:t xml:space="preserve"> от 16 сентября 2024 г. N ПГ/17926-6-1</w:t>
              </w:r>
            </w:hyperlink>
            <w:r w:rsidRPr="00BF1214">
              <w:rPr>
                <w:sz w:val="23"/>
                <w:szCs w:val="23"/>
              </w:rPr>
              <w:t>)</w:t>
            </w:r>
            <w:r>
              <w:rPr>
                <w:sz w:val="23"/>
                <w:szCs w:val="23"/>
              </w:rPr>
              <w:t xml:space="preserve">.   </w:t>
            </w:r>
            <w:r>
              <w:rPr>
                <w:color w:val="22272F"/>
                <w:sz w:val="23"/>
                <w:szCs w:val="23"/>
              </w:rPr>
              <w:t>Расторжение трудового договора по инициативе работника (по собственному желанию) регулируется </w:t>
            </w:r>
            <w:hyperlink r:id="rId9" w:anchor="/document/12125268/entry/80" w:history="1">
              <w:r>
                <w:rPr>
                  <w:rStyle w:val="a4"/>
                  <w:color w:val="3272C0"/>
                  <w:sz w:val="23"/>
                  <w:szCs w:val="23"/>
                </w:rPr>
                <w:t>статьей 80</w:t>
              </w:r>
            </w:hyperlink>
            <w:r>
              <w:rPr>
                <w:color w:val="22272F"/>
                <w:sz w:val="23"/>
                <w:szCs w:val="23"/>
              </w:rPr>
              <w:t> ТК РФ, в силу </w:t>
            </w:r>
            <w:hyperlink r:id="rId10" w:anchor="/document/12125268/entry/801" w:history="1">
              <w:r>
                <w:rPr>
                  <w:rStyle w:val="a4"/>
                  <w:color w:val="3272C0"/>
                  <w:sz w:val="23"/>
                  <w:szCs w:val="23"/>
                </w:rPr>
                <w:t>части первой</w:t>
              </w:r>
            </w:hyperlink>
            <w:r>
              <w:rPr>
                <w:color w:val="22272F"/>
                <w:sz w:val="23"/>
                <w:szCs w:val="23"/>
              </w:rPr>
              <w:t> которой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BF1214" w:rsidRDefault="00BF1214" w:rsidP="00BF1214">
            <w:pPr>
              <w:pStyle w:val="s1"/>
              <w:shd w:val="clear" w:color="auto" w:fill="FFFFFF"/>
              <w:jc w:val="both"/>
              <w:rPr>
                <w:color w:val="22272F"/>
                <w:sz w:val="23"/>
                <w:szCs w:val="23"/>
              </w:rPr>
            </w:pPr>
            <w:r>
              <w:rPr>
                <w:color w:val="22272F"/>
                <w:sz w:val="23"/>
                <w:szCs w:val="23"/>
              </w:rPr>
              <w:t>ТК РФ не содержит препятствий для подачи заявления об увольнении по собственному желанию в любой форме, в том числе путем направления его по почте. Таким образом, работник в период временной нетрудоспособности может направить работодателю соответствующее заявление, к примеру, заказным письмом с уведомлением о вручении и описью вложения.</w:t>
            </w:r>
          </w:p>
          <w:p w:rsidR="00BF1214" w:rsidRDefault="00BF1214" w:rsidP="00BF1214">
            <w:pPr>
              <w:pStyle w:val="s74"/>
              <w:shd w:val="clear" w:color="auto" w:fill="F0E9D3"/>
              <w:spacing w:before="240" w:beforeAutospacing="0" w:after="240" w:afterAutospacing="0"/>
              <w:jc w:val="both"/>
              <w:rPr>
                <w:color w:val="464C55"/>
                <w:sz w:val="23"/>
                <w:szCs w:val="23"/>
              </w:rPr>
            </w:pPr>
            <w:r>
              <w:rPr>
                <w:rStyle w:val="s10"/>
                <w:b/>
                <w:bCs/>
                <w:color w:val="464C55"/>
                <w:sz w:val="23"/>
                <w:szCs w:val="23"/>
              </w:rPr>
              <w:t xml:space="preserve">Если работодатель не возмещает расходы работника на медосмотр, </w:t>
            </w:r>
            <w:proofErr w:type="spellStart"/>
            <w:r>
              <w:rPr>
                <w:rStyle w:val="s10"/>
                <w:b/>
                <w:bCs/>
                <w:color w:val="464C55"/>
                <w:sz w:val="23"/>
                <w:szCs w:val="23"/>
              </w:rPr>
              <w:t>Роструд</w:t>
            </w:r>
            <w:proofErr w:type="spellEnd"/>
            <w:r>
              <w:rPr>
                <w:rStyle w:val="s10"/>
                <w:b/>
                <w:bCs/>
                <w:color w:val="464C55"/>
                <w:sz w:val="23"/>
                <w:szCs w:val="23"/>
              </w:rPr>
              <w:t xml:space="preserve"> рекомендует обратиться в ГИТ</w:t>
            </w:r>
          </w:p>
          <w:p w:rsidR="00BF1214" w:rsidRPr="00BF1214" w:rsidRDefault="00BF1214" w:rsidP="00BF1214">
            <w:pPr>
              <w:pStyle w:val="s1"/>
              <w:shd w:val="clear" w:color="auto" w:fill="FFFFFF"/>
              <w:jc w:val="both"/>
              <w:rPr>
                <w:sz w:val="23"/>
                <w:szCs w:val="23"/>
              </w:rPr>
            </w:pPr>
            <w:proofErr w:type="spellStart"/>
            <w:r>
              <w:rPr>
                <w:color w:val="22272F"/>
                <w:sz w:val="23"/>
                <w:szCs w:val="23"/>
              </w:rPr>
              <w:t>Роструд</w:t>
            </w:r>
            <w:proofErr w:type="spellEnd"/>
            <w:r>
              <w:rPr>
                <w:color w:val="22272F"/>
                <w:sz w:val="23"/>
                <w:szCs w:val="23"/>
              </w:rPr>
              <w:t xml:space="preserve"> рассмотрел следующую ситуацию. Работник прошел предварительный медосмотр за свой счет, отработал больше месяца, но расходы на медосмотр ему так и не возместили, хотя это было предусмотрено условиями приема на работу.</w:t>
            </w:r>
            <w:r w:rsidRPr="00BF1214">
              <w:rPr>
                <w:sz w:val="23"/>
                <w:szCs w:val="23"/>
              </w:rPr>
              <w:t xml:space="preserve"> </w:t>
            </w:r>
            <w:r>
              <w:rPr>
                <w:sz w:val="23"/>
                <w:szCs w:val="23"/>
              </w:rPr>
              <w:t>(</w:t>
            </w:r>
            <w:hyperlink r:id="rId11" w:anchor="/document/410527511/entry/0" w:history="1">
              <w:r w:rsidRPr="00BF1214">
                <w:rPr>
                  <w:rStyle w:val="a4"/>
                  <w:color w:val="auto"/>
                  <w:sz w:val="23"/>
                  <w:szCs w:val="23"/>
                </w:rPr>
                <w:t xml:space="preserve">Письмо </w:t>
              </w:r>
              <w:proofErr w:type="spellStart"/>
              <w:r w:rsidRPr="00BF1214">
                <w:rPr>
                  <w:rStyle w:val="a4"/>
                  <w:color w:val="auto"/>
                  <w:sz w:val="23"/>
                  <w:szCs w:val="23"/>
                </w:rPr>
                <w:t>Роструда</w:t>
              </w:r>
              <w:proofErr w:type="spellEnd"/>
              <w:r w:rsidRPr="00BF1214">
                <w:rPr>
                  <w:rStyle w:val="a4"/>
                  <w:color w:val="auto"/>
                  <w:sz w:val="23"/>
                  <w:szCs w:val="23"/>
                </w:rPr>
                <w:t xml:space="preserve"> от 24 сентября 2024 г. N ПГ/18450-6-1</w:t>
              </w:r>
            </w:hyperlink>
            <w:r>
              <w:rPr>
                <w:sz w:val="23"/>
                <w:szCs w:val="23"/>
              </w:rPr>
              <w:t>)</w:t>
            </w:r>
          </w:p>
          <w:p w:rsidR="00BF1214" w:rsidRDefault="00BF1214" w:rsidP="00BF1214">
            <w:pPr>
              <w:pStyle w:val="s1"/>
              <w:shd w:val="clear" w:color="auto" w:fill="FFFFFF"/>
              <w:jc w:val="both"/>
              <w:rPr>
                <w:color w:val="22272F"/>
                <w:sz w:val="23"/>
                <w:szCs w:val="23"/>
              </w:rPr>
            </w:pPr>
            <w:r>
              <w:rPr>
                <w:color w:val="22272F"/>
                <w:sz w:val="23"/>
                <w:szCs w:val="23"/>
              </w:rPr>
              <w:t>Специалисты ведомства напомнили, что организовать и оплатить медосмотр должен работодатель, а работник в целях защиты своих трудовых прав может подать письменное обращение (жалобу) или обращение в виде электронного документа в государственную инспекцию труда по месту нахождения работодателя.</w:t>
            </w:r>
          </w:p>
          <w:p w:rsidR="00BF1214" w:rsidRPr="00BF1214" w:rsidRDefault="00BF1214" w:rsidP="00BF1214">
            <w:pPr>
              <w:pStyle w:val="s1"/>
              <w:shd w:val="clear" w:color="auto" w:fill="FFFFFF"/>
              <w:jc w:val="both"/>
              <w:rPr>
                <w:color w:val="22272F"/>
                <w:sz w:val="23"/>
                <w:szCs w:val="23"/>
              </w:rPr>
            </w:pPr>
            <w:r>
              <w:rPr>
                <w:color w:val="22272F"/>
                <w:sz w:val="23"/>
                <w:szCs w:val="23"/>
              </w:rPr>
              <w:t>Напомним, работодателю, который не организовал и (или) не оплатил медосмотры сотрудников и соискателей, грозит привлечение к административной ответственности, предусмотренной </w:t>
            </w:r>
            <w:hyperlink r:id="rId12" w:anchor="/document/12125267/entry/52711" w:history="1">
              <w:r>
                <w:rPr>
                  <w:rStyle w:val="a4"/>
                  <w:color w:val="3272C0"/>
                  <w:sz w:val="23"/>
                  <w:szCs w:val="23"/>
                </w:rPr>
                <w:t>частью 1 ст. 5.27.1</w:t>
              </w:r>
            </w:hyperlink>
            <w:r>
              <w:rPr>
                <w:color w:val="22272F"/>
                <w:sz w:val="23"/>
                <w:szCs w:val="23"/>
              </w:rPr>
              <w:t xml:space="preserve"> КоАП РФ (см., например, решения </w:t>
            </w:r>
            <w:proofErr w:type="spellStart"/>
            <w:r>
              <w:rPr>
                <w:color w:val="22272F"/>
                <w:sz w:val="23"/>
                <w:szCs w:val="23"/>
              </w:rPr>
              <w:t>Волосовского</w:t>
            </w:r>
            <w:proofErr w:type="spellEnd"/>
            <w:r>
              <w:rPr>
                <w:color w:val="22272F"/>
                <w:sz w:val="23"/>
                <w:szCs w:val="23"/>
              </w:rPr>
              <w:t xml:space="preserve"> райсуда Ленинградской области </w:t>
            </w:r>
            <w:hyperlink r:id="rId13" w:tgtFrame="_blank" w:history="1">
              <w:r>
                <w:rPr>
                  <w:rStyle w:val="a4"/>
                  <w:color w:val="3272C0"/>
                  <w:sz w:val="23"/>
                  <w:szCs w:val="23"/>
                </w:rPr>
                <w:t>от 31.01.2024 N 2-118/2024</w:t>
              </w:r>
            </w:hyperlink>
            <w:r>
              <w:rPr>
                <w:color w:val="22272F"/>
                <w:sz w:val="23"/>
                <w:szCs w:val="23"/>
              </w:rPr>
              <w:t xml:space="preserve">, Саянского </w:t>
            </w:r>
            <w:proofErr w:type="spellStart"/>
            <w:r>
              <w:rPr>
                <w:color w:val="22272F"/>
                <w:sz w:val="23"/>
                <w:szCs w:val="23"/>
              </w:rPr>
              <w:t>горсуда</w:t>
            </w:r>
            <w:proofErr w:type="spellEnd"/>
            <w:r>
              <w:rPr>
                <w:color w:val="22272F"/>
                <w:sz w:val="23"/>
                <w:szCs w:val="23"/>
              </w:rPr>
              <w:t xml:space="preserve"> Иркутской области </w:t>
            </w:r>
            <w:hyperlink r:id="rId14" w:tgtFrame="_blank" w:history="1">
              <w:r>
                <w:rPr>
                  <w:rStyle w:val="a4"/>
                  <w:color w:val="3272C0"/>
                  <w:sz w:val="23"/>
                  <w:szCs w:val="23"/>
                </w:rPr>
                <w:t>от 05.06.2024 N 12-29/2024</w:t>
              </w:r>
            </w:hyperlink>
            <w:r>
              <w:rPr>
                <w:color w:val="22272F"/>
                <w:sz w:val="23"/>
                <w:szCs w:val="23"/>
              </w:rPr>
              <w:t>).</w:t>
            </w:r>
            <w:r>
              <w:rPr>
                <w:color w:val="22272F"/>
                <w:sz w:val="23"/>
                <w:szCs w:val="23"/>
              </w:rPr>
              <w:t xml:space="preserve"> </w:t>
            </w:r>
            <w:bookmarkStart w:id="0" w:name="_GoBack"/>
            <w:bookmarkEnd w:id="0"/>
            <w:r>
              <w:rPr>
                <w:color w:val="22272F"/>
                <w:sz w:val="23"/>
                <w:szCs w:val="23"/>
              </w:rPr>
              <w:t>Санкция данной нормы предусматривает:</w:t>
            </w:r>
            <w:r>
              <w:rPr>
                <w:color w:val="22272F"/>
                <w:sz w:val="23"/>
                <w:szCs w:val="23"/>
              </w:rPr>
              <w:t xml:space="preserve">  </w:t>
            </w:r>
            <w:r>
              <w:rPr>
                <w:color w:val="22272F"/>
                <w:sz w:val="23"/>
                <w:szCs w:val="23"/>
              </w:rPr>
              <w:t>для должностных лиц - предупреждение или наложение штрафа в размере от 2 тыс. до 5 тыс. рублей;</w:t>
            </w:r>
            <w:r>
              <w:rPr>
                <w:color w:val="22272F"/>
                <w:sz w:val="23"/>
                <w:szCs w:val="23"/>
              </w:rPr>
              <w:t xml:space="preserve">  </w:t>
            </w:r>
            <w:r>
              <w:rPr>
                <w:color w:val="22272F"/>
                <w:sz w:val="23"/>
                <w:szCs w:val="23"/>
              </w:rPr>
              <w:t>для ИП - наложение штрафа в размере от 2 тыс. до 5 тыс. рублей;</w:t>
            </w:r>
            <w:r>
              <w:rPr>
                <w:color w:val="22272F"/>
                <w:sz w:val="23"/>
                <w:szCs w:val="23"/>
              </w:rPr>
              <w:t xml:space="preserve">  </w:t>
            </w:r>
            <w:r>
              <w:rPr>
                <w:color w:val="22272F"/>
                <w:sz w:val="23"/>
                <w:szCs w:val="23"/>
              </w:rPr>
              <w:t>для юридических лиц - наложение штрафа в размере от 50 тыс. до 80 тыс. рублей.</w:t>
            </w:r>
          </w:p>
        </w:tc>
      </w:tr>
      <w:tr w:rsidR="00BF1214" w:rsidTr="00E7747B">
        <w:tc>
          <w:tcPr>
            <w:tcW w:w="11199" w:type="dxa"/>
          </w:tcPr>
          <w:p w:rsidR="00BF1214" w:rsidRDefault="00BF1214" w:rsidP="00E7747B">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BF1214" w:rsidRPr="00D52B05" w:rsidRDefault="00BF1214" w:rsidP="00E7747B">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BF1214" w:rsidRPr="00D52B05" w:rsidRDefault="00BF1214" w:rsidP="00E7747B">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BF1214" w:rsidRPr="00D52B05" w:rsidRDefault="00BF1214" w:rsidP="00E7747B">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но</w:t>
            </w:r>
            <w:r>
              <w:rPr>
                <w:rFonts w:ascii="Arial" w:hAnsi="Arial" w:cs="Arial"/>
                <w:b/>
                <w:sz w:val="16"/>
                <w:szCs w:val="16"/>
              </w:rPr>
              <w:t>ябрь, 2024</w:t>
            </w:r>
          </w:p>
          <w:p w:rsidR="00BF1214" w:rsidRDefault="00BF1214" w:rsidP="00E7747B">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15" w:history="1">
              <w:r w:rsidRPr="00D52B05">
                <w:rPr>
                  <w:rStyle w:val="a4"/>
                  <w:color w:val="FF0000"/>
                  <w:sz w:val="16"/>
                  <w:szCs w:val="16"/>
                </w:rPr>
                <w:t>https://www.eseur.ru/kaluga/</w:t>
              </w:r>
            </w:hyperlink>
          </w:p>
        </w:tc>
      </w:tr>
    </w:tbl>
    <w:p w:rsidR="00BF1214" w:rsidRDefault="00BF1214" w:rsidP="00BF1214"/>
    <w:p w:rsidR="00BF1214" w:rsidRDefault="00BF1214" w:rsidP="00BF1214"/>
    <w:p w:rsidR="00BF1214" w:rsidRDefault="00BF1214" w:rsidP="00BF1214"/>
    <w:p w:rsidR="00BF1214" w:rsidRDefault="00BF1214" w:rsidP="00BF1214"/>
    <w:p w:rsidR="00BF1214" w:rsidRDefault="00BF1214" w:rsidP="00BF1214"/>
    <w:p w:rsidR="001339BF" w:rsidRDefault="0019319D"/>
    <w:sectPr w:rsidR="001339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14"/>
    <w:rsid w:val="001545F9"/>
    <w:rsid w:val="0019319D"/>
    <w:rsid w:val="00BF1214"/>
    <w:rsid w:val="00D4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11A7"/>
  <w15:chartTrackingRefBased/>
  <w15:docId w15:val="{F8267A13-6BF5-4727-9876-FBD07701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2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12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BF1214"/>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BF1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F1214"/>
    <w:rPr>
      <w:color w:val="0000FF"/>
      <w:u w:val="single"/>
    </w:rPr>
  </w:style>
  <w:style w:type="paragraph" w:customStyle="1" w:styleId="s74">
    <w:name w:val="s_74"/>
    <w:basedOn w:val="a"/>
    <w:rsid w:val="00BF1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F1214"/>
  </w:style>
  <w:style w:type="paragraph" w:customStyle="1" w:styleId="s1">
    <w:name w:val="s_1"/>
    <w:basedOn w:val="a"/>
    <w:rsid w:val="00BF12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services/arbitr/link/338211119"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seur.ru/kaluga/" TargetMode="External"/><Relationship Id="rId11" Type="http://schemas.openxmlformats.org/officeDocument/2006/relationships/hyperlink" Target="https://internet.garant.ru/" TargetMode="External"/><Relationship Id="rId5" Type="http://schemas.openxmlformats.org/officeDocument/2006/relationships/image" Target="media/image2.jpeg"/><Relationship Id="rId15" Type="http://schemas.openxmlformats.org/officeDocument/2006/relationships/hyperlink" Target="https://www.eseur.ru/kaluga/" TargetMode="External"/><Relationship Id="rId10" Type="http://schemas.openxmlformats.org/officeDocument/2006/relationships/hyperlink" Target="https://internet.garant.ru/" TargetMode="External"/><Relationship Id="rId4" Type="http://schemas.openxmlformats.org/officeDocument/2006/relationships/image" Target="media/image1.jpeg"/><Relationship Id="rId9" Type="http://schemas.openxmlformats.org/officeDocument/2006/relationships/hyperlink" Target="https://internet.garant.ru/" TargetMode="External"/><Relationship Id="rId14" Type="http://schemas.openxmlformats.org/officeDocument/2006/relationships/hyperlink" Target="https://internet.garant.ru/services/arbitr/link/3403542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550</Words>
  <Characters>3136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2024-11-07T08:24:00Z</dcterms:created>
  <dcterms:modified xsi:type="dcterms:W3CDTF">2024-11-07T08:56:00Z</dcterms:modified>
</cp:coreProperties>
</file>