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774" w:type="dxa"/>
        <w:tblInd w:w="-714" w:type="dxa"/>
        <w:tblLayout w:type="fixed"/>
        <w:tblLook w:val="04A0" w:firstRow="1" w:lastRow="0" w:firstColumn="1" w:lastColumn="0" w:noHBand="0" w:noVBand="1"/>
      </w:tblPr>
      <w:tblGrid>
        <w:gridCol w:w="10774"/>
      </w:tblGrid>
      <w:tr w:rsidR="00DF1AE1" w:rsidTr="00E96868">
        <w:trPr>
          <w:trHeight w:val="3954"/>
        </w:trPr>
        <w:tc>
          <w:tcPr>
            <w:tcW w:w="10774" w:type="dxa"/>
            <w:tcBorders>
              <w:top w:val="single" w:sz="4" w:space="0" w:color="auto"/>
              <w:left w:val="single" w:sz="4" w:space="0" w:color="auto"/>
              <w:bottom w:val="single" w:sz="4" w:space="0" w:color="auto"/>
              <w:right w:val="single" w:sz="4" w:space="0" w:color="auto"/>
            </w:tcBorders>
          </w:tcPr>
          <w:p w:rsidR="00DF1AE1" w:rsidRPr="00726C3F" w:rsidRDefault="00DF1AE1" w:rsidP="00E96868">
            <w:pPr>
              <w:pStyle w:val="ConsPlusNormal"/>
              <w:jc w:val="center"/>
              <w:rPr>
                <w:b/>
                <w:color w:val="FF0000"/>
                <w:sz w:val="40"/>
                <w:szCs w:val="40"/>
                <w:lang w:eastAsia="en-US"/>
              </w:rPr>
            </w:pPr>
            <w:r>
              <w:rPr>
                <w:b/>
                <w:color w:val="FF0000"/>
                <w:sz w:val="40"/>
                <w:szCs w:val="40"/>
                <w:lang w:eastAsia="en-US"/>
              </w:rPr>
              <w:t>2026г. ОБЩЕРОССИЙСКИЙ ПРОФСОЮЗ ОБРАЗОВАНИЯ</w:t>
            </w:r>
          </w:p>
          <w:tbl>
            <w:tblPr>
              <w:tblStyle w:val="a3"/>
              <w:tblW w:w="10376" w:type="dxa"/>
              <w:tblLayout w:type="fixed"/>
              <w:tblLook w:val="04A0" w:firstRow="1" w:lastRow="0" w:firstColumn="1" w:lastColumn="0" w:noHBand="0" w:noVBand="1"/>
            </w:tblPr>
            <w:tblGrid>
              <w:gridCol w:w="4859"/>
              <w:gridCol w:w="5517"/>
            </w:tblGrid>
            <w:tr w:rsidR="00DF1AE1" w:rsidTr="00E96868">
              <w:trPr>
                <w:trHeight w:val="2611"/>
              </w:trPr>
              <w:tc>
                <w:tcPr>
                  <w:tcW w:w="4859" w:type="dxa"/>
                  <w:tcBorders>
                    <w:top w:val="single" w:sz="4" w:space="0" w:color="auto"/>
                    <w:left w:val="single" w:sz="4" w:space="0" w:color="auto"/>
                    <w:bottom w:val="single" w:sz="4" w:space="0" w:color="auto"/>
                    <w:right w:val="single" w:sz="4" w:space="0" w:color="auto"/>
                  </w:tcBorders>
                  <w:hideMark/>
                </w:tcPr>
                <w:p w:rsidR="00DF1AE1" w:rsidRDefault="00DF1AE1" w:rsidP="00E96868">
                  <w:pPr>
                    <w:pStyle w:val="ConsPlusNormal"/>
                    <w:tabs>
                      <w:tab w:val="left" w:pos="87"/>
                      <w:tab w:val="left" w:pos="3432"/>
                    </w:tabs>
                    <w:ind w:left="-234"/>
                    <w:jc w:val="center"/>
                    <w:rPr>
                      <w:sz w:val="28"/>
                      <w:szCs w:val="28"/>
                      <w:lang w:eastAsia="en-US"/>
                    </w:rPr>
                  </w:pPr>
                  <w:r>
                    <w:rPr>
                      <w:noProof/>
                    </w:rPr>
                    <w:drawing>
                      <wp:inline distT="0" distB="0" distL="0" distR="0" wp14:anchorId="79B5DAE4" wp14:editId="509B50BE">
                        <wp:extent cx="1798320" cy="1973580"/>
                        <wp:effectExtent l="0" t="0" r="0" b="7620"/>
                        <wp:docPr id="1" name="Рисунок 1" descr="https://fp-sk.ru/upload/medialibrary/10b/10bcf1192035a9fec67fa9fee2934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p-sk.ru/upload/medialibrary/10b/10bcf1192035a9fec67fa9fee2934339.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98320" cy="1973580"/>
                                </a:xfrm>
                                <a:prstGeom prst="rect">
                                  <a:avLst/>
                                </a:prstGeom>
                                <a:noFill/>
                                <a:ln>
                                  <a:noFill/>
                                </a:ln>
                              </pic:spPr>
                            </pic:pic>
                          </a:graphicData>
                        </a:graphic>
                      </wp:inline>
                    </w:drawing>
                  </w:r>
                  <w:r>
                    <w:rPr>
                      <w:noProof/>
                    </w:rPr>
                    <w:drawing>
                      <wp:inline distT="0" distB="0" distL="0" distR="0" wp14:anchorId="717562DC" wp14:editId="3F5E89F5">
                        <wp:extent cx="1036320" cy="1501140"/>
                        <wp:effectExtent l="0" t="0" r="0" b="3810"/>
                        <wp:docPr id="2" name="Рисунок 2" descr="https://sosh10.edu95.ru/index.php?component=download&amp;file=97b966d5135be7bee0f1a21412b21b809bb21f66f938535d4ac9685a18629974&amp;view=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osh10.edu95.ru/index.php?component=download&amp;file=97b966d5135be7bee0f1a21412b21b809bb21f66f938535d4ac9685a18629974&amp;view=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0713" cy="1565444"/>
                                </a:xfrm>
                                <a:prstGeom prst="rect">
                                  <a:avLst/>
                                </a:prstGeom>
                                <a:noFill/>
                                <a:ln>
                                  <a:noFill/>
                                </a:ln>
                              </pic:spPr>
                            </pic:pic>
                          </a:graphicData>
                        </a:graphic>
                      </wp:inline>
                    </w:drawing>
                  </w:r>
                  <w:r w:rsidRPr="00D25ADA">
                    <w:rPr>
                      <w:color w:val="FF0000"/>
                      <w:sz w:val="28"/>
                      <w:szCs w:val="28"/>
                      <w:lang w:eastAsia="en-US"/>
                    </w:rPr>
                    <w:t>Правовая</w:t>
                  </w:r>
                  <w:r>
                    <w:rPr>
                      <w:sz w:val="28"/>
                      <w:szCs w:val="28"/>
                      <w:lang w:eastAsia="en-US"/>
                    </w:rPr>
                    <w:t xml:space="preserve"> </w:t>
                  </w:r>
                  <w:r w:rsidRPr="00D25ADA">
                    <w:rPr>
                      <w:color w:val="4472C4" w:themeColor="accent5"/>
                      <w:sz w:val="28"/>
                      <w:szCs w:val="28"/>
                      <w:lang w:eastAsia="en-US"/>
                    </w:rPr>
                    <w:t xml:space="preserve">инспекция </w:t>
                  </w:r>
                  <w:r w:rsidRPr="00D25ADA">
                    <w:rPr>
                      <w:color w:val="70AD47" w:themeColor="accent6"/>
                      <w:sz w:val="28"/>
                      <w:szCs w:val="28"/>
                      <w:lang w:eastAsia="en-US"/>
                    </w:rPr>
                    <w:t>труда</w:t>
                  </w:r>
                  <w:r>
                    <w:rPr>
                      <w:sz w:val="28"/>
                      <w:szCs w:val="28"/>
                      <w:lang w:eastAsia="en-US"/>
                    </w:rPr>
                    <w:t xml:space="preserve"> Профсоюза</w:t>
                  </w:r>
                </w:p>
              </w:tc>
              <w:tc>
                <w:tcPr>
                  <w:tcW w:w="5517" w:type="dxa"/>
                  <w:tcBorders>
                    <w:top w:val="single" w:sz="4" w:space="0" w:color="auto"/>
                    <w:left w:val="single" w:sz="4" w:space="0" w:color="auto"/>
                    <w:bottom w:val="single" w:sz="4" w:space="0" w:color="auto"/>
                    <w:right w:val="single" w:sz="4" w:space="0" w:color="auto"/>
                  </w:tcBorders>
                </w:tcPr>
                <w:p w:rsidR="00DF1AE1" w:rsidRDefault="00DF1AE1" w:rsidP="00E96868">
                  <w:pPr>
                    <w:jc w:val="center"/>
                    <w:rPr>
                      <w:b/>
                      <w:sz w:val="28"/>
                      <w:szCs w:val="28"/>
                    </w:rPr>
                  </w:pPr>
                  <w:r>
                    <w:rPr>
                      <w:b/>
                      <w:sz w:val="28"/>
                      <w:szCs w:val="28"/>
                    </w:rPr>
                    <w:t xml:space="preserve">КАЛУЖСКАЯ ОБЛАСТНАЯ ОРГАНИЗАЦИЯ </w:t>
                  </w:r>
                </w:p>
                <w:p w:rsidR="00DF1AE1" w:rsidRPr="006355F5" w:rsidRDefault="00DF1AE1" w:rsidP="00E96868">
                  <w:pPr>
                    <w:jc w:val="center"/>
                    <w:rPr>
                      <w:b/>
                      <w:szCs w:val="28"/>
                    </w:rPr>
                  </w:pPr>
                  <w:r>
                    <w:rPr>
                      <w:b/>
                      <w:szCs w:val="28"/>
                    </w:rPr>
                    <w:t>ОБЩЕРОССИЙСКОГО</w:t>
                  </w:r>
                  <w:r w:rsidRPr="002B36EE">
                    <w:rPr>
                      <w:b/>
                      <w:szCs w:val="28"/>
                    </w:rPr>
                    <w:t xml:space="preserve"> ПРОФСОЮЗ</w:t>
                  </w:r>
                  <w:r>
                    <w:rPr>
                      <w:b/>
                      <w:szCs w:val="28"/>
                    </w:rPr>
                    <w:t>А</w:t>
                  </w:r>
                  <w:r w:rsidRPr="002B36EE">
                    <w:rPr>
                      <w:b/>
                      <w:szCs w:val="28"/>
                    </w:rPr>
                    <w:t xml:space="preserve"> ОБРАЗОВАНИЯ</w:t>
                  </w:r>
                </w:p>
                <w:p w:rsidR="00DF1AE1" w:rsidRDefault="00DF1AE1" w:rsidP="00E96868">
                  <w:pPr>
                    <w:pStyle w:val="ConsPlusTitle"/>
                    <w:jc w:val="center"/>
                  </w:pPr>
                </w:p>
                <w:p w:rsidR="00DF1AE1" w:rsidRPr="00A037AE" w:rsidRDefault="006B3E70" w:rsidP="00E96868">
                  <w:pPr>
                    <w:pStyle w:val="ConsPlusTitle"/>
                    <w:jc w:val="center"/>
                    <w:rPr>
                      <w:color w:val="222A35" w:themeColor="text2" w:themeShade="80"/>
                      <w:lang w:eastAsia="en-US"/>
                    </w:rPr>
                  </w:pPr>
                  <w:hyperlink r:id="rId6" w:history="1">
                    <w:r w:rsidR="00DF1AE1" w:rsidRPr="00A037AE">
                      <w:rPr>
                        <w:rStyle w:val="a4"/>
                        <w:color w:val="222A35" w:themeColor="text2" w:themeShade="80"/>
                        <w:sz w:val="28"/>
                        <w:szCs w:val="28"/>
                      </w:rPr>
                      <w:t>https://www.eseur.ru/kaluga/</w:t>
                    </w:r>
                  </w:hyperlink>
                </w:p>
                <w:p w:rsidR="00DF1AE1" w:rsidRPr="00A037AE" w:rsidRDefault="00DF1AE1" w:rsidP="00E96868">
                  <w:pPr>
                    <w:pStyle w:val="ConsPlusTitle"/>
                    <w:jc w:val="center"/>
                    <w:rPr>
                      <w:color w:val="222A35" w:themeColor="text2" w:themeShade="80"/>
                      <w:sz w:val="32"/>
                      <w:szCs w:val="32"/>
                      <w:lang w:eastAsia="en-US"/>
                    </w:rPr>
                  </w:pPr>
                </w:p>
                <w:p w:rsidR="00DF1AE1" w:rsidRPr="00A037AE" w:rsidRDefault="00DF1AE1" w:rsidP="00E96868">
                  <w:pPr>
                    <w:pStyle w:val="ConsPlusTitle"/>
                    <w:jc w:val="center"/>
                    <w:rPr>
                      <w:color w:val="FF0000"/>
                      <w:sz w:val="32"/>
                      <w:szCs w:val="32"/>
                      <w:lang w:eastAsia="en-US"/>
                    </w:rPr>
                  </w:pPr>
                  <w:r w:rsidRPr="00A037AE">
                    <w:rPr>
                      <w:color w:val="FF0000"/>
                      <w:sz w:val="32"/>
                      <w:szCs w:val="32"/>
                      <w:lang w:eastAsia="en-US"/>
                    </w:rPr>
                    <w:t>Информационный листок №</w:t>
                  </w:r>
                  <w:r w:rsidR="00A62779">
                    <w:rPr>
                      <w:color w:val="FF0000"/>
                      <w:sz w:val="32"/>
                      <w:szCs w:val="32"/>
                      <w:lang w:eastAsia="en-US"/>
                    </w:rPr>
                    <w:t>49</w:t>
                  </w:r>
                </w:p>
                <w:p w:rsidR="00DF1AE1" w:rsidRPr="0080747D" w:rsidRDefault="00DF1AE1" w:rsidP="00E96868">
                  <w:pPr>
                    <w:ind w:firstLine="540"/>
                    <w:jc w:val="both"/>
                    <w:rPr>
                      <w:rFonts w:ascii="Times New Roman" w:hAnsi="Times New Roman" w:cs="Times New Roman"/>
                      <w:b/>
                      <w:bCs/>
                      <w:color w:val="ED7D31" w:themeColor="accent2"/>
                      <w:kern w:val="36"/>
                      <w:sz w:val="28"/>
                      <w:szCs w:val="28"/>
                    </w:rPr>
                  </w:pPr>
                  <w:r>
                    <w:rPr>
                      <w:rFonts w:ascii="Times New Roman" w:hAnsi="Times New Roman" w:cs="Times New Roman"/>
                      <w:b/>
                      <w:bCs/>
                      <w:color w:val="ED7D31" w:themeColor="accent2"/>
                      <w:kern w:val="36"/>
                      <w:sz w:val="28"/>
                      <w:szCs w:val="28"/>
                    </w:rPr>
                    <w:t xml:space="preserve"> </w:t>
                  </w:r>
                </w:p>
                <w:p w:rsidR="00DF1AE1" w:rsidRPr="00D936AB" w:rsidRDefault="006B3E70" w:rsidP="00E96868">
                  <w:pPr>
                    <w:pStyle w:val="s74"/>
                    <w:shd w:val="clear" w:color="auto" w:fill="F5EFDF"/>
                    <w:spacing w:before="240" w:beforeAutospacing="0" w:after="240" w:afterAutospacing="0"/>
                    <w:jc w:val="center"/>
                    <w:rPr>
                      <w:b/>
                      <w:sz w:val="28"/>
                      <w:szCs w:val="28"/>
                    </w:rPr>
                  </w:pPr>
                  <w:r>
                    <w:rPr>
                      <w:rStyle w:val="s10"/>
                      <w:b/>
                      <w:bCs/>
                      <w:color w:val="232222"/>
                      <w:sz w:val="23"/>
                      <w:szCs w:val="23"/>
                    </w:rPr>
                    <w:t>ВС: временные часы по вакансии прекращаются, когда</w:t>
                  </w:r>
                  <w:r>
                    <w:rPr>
                      <w:rStyle w:val="s10"/>
                      <w:b/>
                      <w:bCs/>
                      <w:color w:val="232222"/>
                      <w:sz w:val="23"/>
                      <w:szCs w:val="23"/>
                    </w:rPr>
                    <w:t>…</w:t>
                  </w:r>
                  <w:bookmarkStart w:id="0" w:name="_GoBack"/>
                  <w:bookmarkEnd w:id="0"/>
                </w:p>
              </w:tc>
            </w:tr>
          </w:tbl>
          <w:p w:rsidR="00DF1AE1" w:rsidRDefault="00DF1AE1" w:rsidP="00E96868">
            <w:pPr>
              <w:pStyle w:val="ConsPlusNormal"/>
              <w:jc w:val="both"/>
              <w:rPr>
                <w:sz w:val="28"/>
                <w:szCs w:val="28"/>
                <w:lang w:eastAsia="en-US"/>
              </w:rPr>
            </w:pPr>
          </w:p>
        </w:tc>
      </w:tr>
      <w:tr w:rsidR="00DF1AE1" w:rsidTr="00E96868">
        <w:tc>
          <w:tcPr>
            <w:tcW w:w="10774" w:type="dxa"/>
            <w:tcBorders>
              <w:top w:val="single" w:sz="4" w:space="0" w:color="auto"/>
              <w:left w:val="single" w:sz="4" w:space="0" w:color="auto"/>
              <w:bottom w:val="single" w:sz="4" w:space="0" w:color="auto"/>
              <w:right w:val="single" w:sz="4" w:space="0" w:color="auto"/>
            </w:tcBorders>
          </w:tcPr>
          <w:p w:rsidR="00DF1AE1" w:rsidRDefault="00DF1AE1" w:rsidP="00DF1AE1">
            <w:pPr>
              <w:pStyle w:val="s74"/>
              <w:shd w:val="clear" w:color="auto" w:fill="F5EFDF"/>
              <w:spacing w:before="240" w:beforeAutospacing="0" w:after="240" w:afterAutospacing="0"/>
              <w:jc w:val="both"/>
              <w:rPr>
                <w:color w:val="232222"/>
                <w:sz w:val="23"/>
                <w:szCs w:val="23"/>
              </w:rPr>
            </w:pPr>
            <w:r>
              <w:rPr>
                <w:rStyle w:val="s10"/>
                <w:b/>
                <w:bCs/>
                <w:color w:val="232222"/>
                <w:sz w:val="23"/>
                <w:szCs w:val="23"/>
              </w:rPr>
              <w:t>ВС: временные часы по вакансии прекращаются, когда новый учитель приступает к работе</w:t>
            </w:r>
          </w:p>
          <w:p w:rsidR="00DF1AE1" w:rsidRDefault="006B3E70" w:rsidP="00DF1AE1">
            <w:pPr>
              <w:pStyle w:val="s1"/>
              <w:shd w:val="clear" w:color="auto" w:fill="FFFFFF"/>
              <w:jc w:val="both"/>
              <w:rPr>
                <w:color w:val="22272F"/>
                <w:sz w:val="23"/>
                <w:szCs w:val="23"/>
              </w:rPr>
            </w:pPr>
            <w:hyperlink r:id="rId7" w:anchor="/document/414672658/entry/0" w:history="1">
              <w:r w:rsidR="00DF1AE1">
                <w:rPr>
                  <w:rStyle w:val="a4"/>
                  <w:color w:val="3272C0"/>
                  <w:sz w:val="23"/>
                  <w:szCs w:val="23"/>
                </w:rPr>
                <w:t>Решение Верховного Суда РФ от 24 июня 2026 г. № АКПИ26-220</w:t>
              </w:r>
            </w:hyperlink>
          </w:p>
          <w:p w:rsidR="00DF1AE1" w:rsidRDefault="00DF1AE1" w:rsidP="00DF1AE1">
            <w:pPr>
              <w:pStyle w:val="s1"/>
              <w:shd w:val="clear" w:color="auto" w:fill="FFFFFF"/>
              <w:jc w:val="both"/>
              <w:rPr>
                <w:color w:val="22272F"/>
                <w:sz w:val="23"/>
                <w:szCs w:val="23"/>
              </w:rPr>
            </w:pPr>
            <w:r>
              <w:rPr>
                <w:color w:val="22272F"/>
                <w:sz w:val="23"/>
                <w:szCs w:val="23"/>
              </w:rPr>
              <w:t>Если в школе есть вакантная учительская ставка, учебную нагрузку по ней можно временно распределить между работающими педагогами - до приема постоянного работника. Когда новый педагог приступает к работе, те, кто временно вел эти часы, прекращают их выполнять без предварительного уведомления, указал ВС. Речь только о нагрузке, заранее оформленной как временная: основную учебную нагрузку это правило не затрагивает.</w:t>
            </w:r>
          </w:p>
          <w:p w:rsidR="00DF1AE1" w:rsidRDefault="00DF1AE1" w:rsidP="00DF1AE1">
            <w:pPr>
              <w:pStyle w:val="s1"/>
              <w:shd w:val="clear" w:color="auto" w:fill="FFFFFF"/>
              <w:jc w:val="both"/>
              <w:rPr>
                <w:color w:val="22272F"/>
                <w:sz w:val="23"/>
                <w:szCs w:val="23"/>
              </w:rPr>
            </w:pPr>
            <w:r>
              <w:rPr>
                <w:color w:val="22272F"/>
                <w:sz w:val="23"/>
                <w:szCs w:val="23"/>
              </w:rPr>
              <w:t>Спор возник как раз из такой ситуации. Заявитель хотел устроиться учителем в сельскую школу. По его словам, в штатном расписании было 23 ставки учителя, фактически работали 14 педагогов, а вся учебная нагрузка была распределена между ними. Он считал, что действующие правила не позволяют без согласия этих педагогов уменьшить нагрузку, ранее увеличенную сверх одной ставки за счет часов по вакантным должностям. По его логике, из-за этого часы нельзя освободить для нового работника.</w:t>
            </w:r>
          </w:p>
          <w:p w:rsidR="00DF1AE1" w:rsidRDefault="00DF1AE1" w:rsidP="00DF1AE1">
            <w:pPr>
              <w:pStyle w:val="s1"/>
              <w:shd w:val="clear" w:color="auto" w:fill="FFFFFF"/>
              <w:jc w:val="both"/>
              <w:rPr>
                <w:color w:val="22272F"/>
                <w:sz w:val="23"/>
                <w:szCs w:val="23"/>
              </w:rPr>
            </w:pPr>
            <w:r>
              <w:rPr>
                <w:color w:val="22272F"/>
                <w:sz w:val="23"/>
                <w:szCs w:val="23"/>
              </w:rPr>
              <w:t>ВС с такой трактовкой не согласился и разделил основную и временную нагрузку. Основную нагрузку ежегодно устанавливают на начало учебного года, закрепляют локальным актом и оговаривают в трудовом договоре. По общему правилу изменить ее можно только по письменному соглашению сторон. Именно к основной нагрузке применяются общие правила, на которые ссылался заявитель.</w:t>
            </w:r>
          </w:p>
          <w:p w:rsidR="00DF1AE1" w:rsidRDefault="00DF1AE1" w:rsidP="00DF1AE1">
            <w:pPr>
              <w:pStyle w:val="s1"/>
              <w:shd w:val="clear" w:color="auto" w:fill="FFFFFF"/>
              <w:jc w:val="both"/>
              <w:rPr>
                <w:color w:val="22272F"/>
                <w:sz w:val="23"/>
                <w:szCs w:val="23"/>
              </w:rPr>
            </w:pPr>
            <w:r>
              <w:rPr>
                <w:color w:val="22272F"/>
                <w:sz w:val="23"/>
                <w:szCs w:val="23"/>
              </w:rPr>
              <w:t>С часами по вакантной должности ситуация другая. Их можно временно передать уже работающему педагогу до приема постоянного работника. Это оформляют дополнительным соглашением, где указывают срок, содержание работы, объем нагрузки и оплату. Такие часы в основную учебную нагрузку не входят. Временно распределить их можно как в течение текущего учебного года, так и при определении нагрузки на следующий.</w:t>
            </w:r>
          </w:p>
          <w:p w:rsidR="00DF1AE1" w:rsidRDefault="00DF1AE1" w:rsidP="00DF1AE1">
            <w:pPr>
              <w:pStyle w:val="s1"/>
              <w:shd w:val="clear" w:color="auto" w:fill="FFFFFF"/>
              <w:jc w:val="both"/>
              <w:rPr>
                <w:color w:val="22272F"/>
                <w:sz w:val="23"/>
                <w:szCs w:val="23"/>
              </w:rPr>
            </w:pPr>
            <w:r>
              <w:rPr>
                <w:color w:val="22272F"/>
                <w:sz w:val="23"/>
                <w:szCs w:val="23"/>
              </w:rPr>
              <w:t>Когда постоянный педагог приступает к работе, временная нагрузка прекращается без предварительного уведомления. То, что прекращение временного замещения вакансии не названо в общем перечне оснований для снижения нагрузки, ничего не меняет. Этот перечень относится к основной нагрузке, а временные часы изначально ограничены сроком или условием.</w:t>
            </w:r>
          </w:p>
          <w:p w:rsidR="00DF1AE1" w:rsidRDefault="00DF1AE1" w:rsidP="00DF1AE1">
            <w:pPr>
              <w:pStyle w:val="s1"/>
              <w:shd w:val="clear" w:color="auto" w:fill="FFFFFF"/>
              <w:jc w:val="both"/>
              <w:rPr>
                <w:color w:val="22272F"/>
                <w:sz w:val="23"/>
                <w:szCs w:val="23"/>
              </w:rPr>
            </w:pPr>
            <w:r>
              <w:rPr>
                <w:color w:val="22272F"/>
                <w:sz w:val="23"/>
                <w:szCs w:val="23"/>
              </w:rPr>
              <w:t xml:space="preserve"> В дополнительном соглашении нужно зафиксировать, что часы переданы на период временного совмещения вакантной должности до приема постоянного работника, а также указать содержание работы, объем нагрузки и оплату.</w:t>
            </w:r>
          </w:p>
          <w:p w:rsidR="00DF1AE1" w:rsidRDefault="00DF1AE1" w:rsidP="00DF1AE1">
            <w:pPr>
              <w:pStyle w:val="s1"/>
              <w:shd w:val="clear" w:color="auto" w:fill="FFFFFF"/>
              <w:jc w:val="both"/>
              <w:rPr>
                <w:color w:val="22272F"/>
                <w:sz w:val="23"/>
                <w:szCs w:val="23"/>
              </w:rPr>
            </w:pPr>
            <w:r>
              <w:rPr>
                <w:color w:val="22272F"/>
                <w:sz w:val="23"/>
                <w:szCs w:val="23"/>
              </w:rPr>
              <w:t>Напомним, что эту ситуацию важно отличать от досрочной отмены дополнительной работы по </w:t>
            </w:r>
            <w:hyperlink r:id="rId8" w:anchor="/document/12125268/entry/602" w:history="1">
              <w:r>
                <w:rPr>
                  <w:rStyle w:val="a4"/>
                  <w:color w:val="3272C0"/>
                  <w:sz w:val="23"/>
                  <w:szCs w:val="23"/>
                </w:rPr>
                <w:t>статье 60.2</w:t>
              </w:r>
            </w:hyperlink>
            <w:r>
              <w:rPr>
                <w:color w:val="22272F"/>
                <w:sz w:val="23"/>
                <w:szCs w:val="23"/>
              </w:rPr>
              <w:t xml:space="preserve"> ТК РФ. При досрочной отмене работодатель письменно предупреждает работника не позднее чем за </w:t>
            </w:r>
            <w:r>
              <w:rPr>
                <w:color w:val="22272F"/>
                <w:sz w:val="23"/>
                <w:szCs w:val="23"/>
              </w:rPr>
              <w:lastRenderedPageBreak/>
              <w:t>три рабочих дня. Если часы изначально передали до приема постоянного работника, то заранее предупреждать об отмене этой дополнительной работы не требуется.</w:t>
            </w:r>
          </w:p>
          <w:p w:rsidR="00DF1AE1" w:rsidRDefault="00DF1AE1" w:rsidP="00DF1AE1">
            <w:pPr>
              <w:pStyle w:val="s1"/>
              <w:shd w:val="clear" w:color="auto" w:fill="FFFFFF"/>
              <w:jc w:val="both"/>
              <w:rPr>
                <w:color w:val="22272F"/>
                <w:sz w:val="23"/>
                <w:szCs w:val="23"/>
              </w:rPr>
            </w:pPr>
            <w:r>
              <w:rPr>
                <w:color w:val="22272F"/>
                <w:sz w:val="23"/>
                <w:szCs w:val="23"/>
              </w:rPr>
              <w:t>Дополнительно отметим, что ВС не оценивал законность конкретного отказа заявителю в приеме на работу. В этом деле суд разбирал, как соотносятся общие гарантии сохранения основной учебной нагрузки и специальные правила о временных часах по вакантной должности. Если же спор касается действий конкретной образовательной организации, их законность нужно оспаривать отдельно.</w:t>
            </w:r>
          </w:p>
          <w:p w:rsidR="00DF1AE1" w:rsidRPr="00D936AB" w:rsidRDefault="00DF1AE1" w:rsidP="00E96868">
            <w:pPr>
              <w:pStyle w:val="s1"/>
              <w:shd w:val="clear" w:color="auto" w:fill="FFFFFF"/>
              <w:spacing w:line="276" w:lineRule="auto"/>
              <w:jc w:val="both"/>
              <w:rPr>
                <w:color w:val="22272F"/>
              </w:rPr>
            </w:pPr>
          </w:p>
        </w:tc>
      </w:tr>
      <w:tr w:rsidR="00DF1AE1" w:rsidTr="00E96868">
        <w:tc>
          <w:tcPr>
            <w:tcW w:w="10774" w:type="dxa"/>
            <w:tcBorders>
              <w:top w:val="single" w:sz="4" w:space="0" w:color="auto"/>
              <w:left w:val="single" w:sz="4" w:space="0" w:color="auto"/>
              <w:bottom w:val="single" w:sz="4" w:space="0" w:color="auto"/>
              <w:right w:val="single" w:sz="4" w:space="0" w:color="auto"/>
            </w:tcBorders>
          </w:tcPr>
          <w:p w:rsidR="00DF1AE1" w:rsidRDefault="00DF1AE1" w:rsidP="00E96868">
            <w:pPr>
              <w:pBdr>
                <w:top w:val="single" w:sz="4" w:space="1" w:color="auto"/>
                <w:left w:val="single" w:sz="4" w:space="4" w:color="auto"/>
                <w:bottom w:val="single" w:sz="4" w:space="1" w:color="auto"/>
                <w:right w:val="single" w:sz="4" w:space="4" w:color="auto"/>
              </w:pBdr>
              <w:autoSpaceDE w:val="0"/>
              <w:autoSpaceDN w:val="0"/>
              <w:adjustRightInd w:val="0"/>
              <w:ind w:firstLine="851"/>
              <w:jc w:val="center"/>
              <w:outlineLvl w:val="3"/>
              <w:rPr>
                <w:rFonts w:ascii="Arial" w:hAnsi="Arial" w:cs="Arial"/>
                <w:b/>
                <w:bCs/>
                <w:sz w:val="16"/>
                <w:szCs w:val="16"/>
              </w:rPr>
            </w:pPr>
          </w:p>
          <w:p w:rsidR="00DF1AE1" w:rsidRPr="00D52B05" w:rsidRDefault="00DF1AE1" w:rsidP="00E96868">
            <w:pPr>
              <w:pBdr>
                <w:top w:val="single" w:sz="4" w:space="1" w:color="auto"/>
                <w:left w:val="single" w:sz="4" w:space="4" w:color="auto"/>
                <w:bottom w:val="single" w:sz="4" w:space="1" w:color="auto"/>
                <w:right w:val="single" w:sz="4" w:space="4" w:color="auto"/>
              </w:pBdr>
              <w:autoSpaceDE w:val="0"/>
              <w:autoSpaceDN w:val="0"/>
              <w:adjustRightInd w:val="0"/>
              <w:ind w:firstLine="851"/>
              <w:jc w:val="center"/>
              <w:outlineLvl w:val="3"/>
              <w:rPr>
                <w:rFonts w:ascii="Arial" w:hAnsi="Arial" w:cs="Arial"/>
                <w:b/>
                <w:bCs/>
                <w:sz w:val="16"/>
                <w:szCs w:val="16"/>
              </w:rPr>
            </w:pPr>
            <w:r w:rsidRPr="00D52B05">
              <w:rPr>
                <w:rFonts w:ascii="Arial" w:hAnsi="Arial" w:cs="Arial"/>
                <w:b/>
                <w:bCs/>
                <w:sz w:val="16"/>
                <w:szCs w:val="16"/>
              </w:rPr>
              <w:t xml:space="preserve">Калужская областная организация </w:t>
            </w:r>
            <w:r>
              <w:rPr>
                <w:rFonts w:ascii="Arial" w:hAnsi="Arial" w:cs="Arial"/>
                <w:b/>
                <w:bCs/>
                <w:sz w:val="16"/>
                <w:szCs w:val="16"/>
              </w:rPr>
              <w:t xml:space="preserve">Общероссийского </w:t>
            </w:r>
            <w:proofErr w:type="gramStart"/>
            <w:r>
              <w:rPr>
                <w:rFonts w:ascii="Arial" w:hAnsi="Arial" w:cs="Arial"/>
                <w:b/>
                <w:bCs/>
                <w:sz w:val="16"/>
                <w:szCs w:val="16"/>
              </w:rPr>
              <w:t>Профсоюза  образования</w:t>
            </w:r>
            <w:proofErr w:type="gramEnd"/>
            <w:r>
              <w:rPr>
                <w:rFonts w:ascii="Arial" w:hAnsi="Arial" w:cs="Arial"/>
                <w:b/>
                <w:bCs/>
                <w:sz w:val="16"/>
                <w:szCs w:val="16"/>
              </w:rPr>
              <w:t xml:space="preserve"> </w:t>
            </w:r>
          </w:p>
          <w:p w:rsidR="00DF1AE1" w:rsidRPr="00D52B05" w:rsidRDefault="00DF1AE1" w:rsidP="00E96868">
            <w:pPr>
              <w:pBdr>
                <w:top w:val="single" w:sz="4" w:space="1" w:color="auto"/>
                <w:left w:val="single" w:sz="4" w:space="4" w:color="auto"/>
                <w:bottom w:val="single" w:sz="4" w:space="1" w:color="auto"/>
                <w:right w:val="single" w:sz="4" w:space="4" w:color="auto"/>
              </w:pBdr>
              <w:autoSpaceDE w:val="0"/>
              <w:autoSpaceDN w:val="0"/>
              <w:adjustRightInd w:val="0"/>
              <w:ind w:firstLine="851"/>
              <w:jc w:val="center"/>
              <w:outlineLvl w:val="3"/>
              <w:rPr>
                <w:rFonts w:ascii="Arial" w:hAnsi="Arial" w:cs="Arial"/>
                <w:b/>
                <w:bCs/>
                <w:sz w:val="16"/>
                <w:szCs w:val="16"/>
              </w:rPr>
            </w:pPr>
            <w:r w:rsidRPr="00D52B05">
              <w:rPr>
                <w:rFonts w:ascii="Arial" w:hAnsi="Arial" w:cs="Arial"/>
                <w:b/>
                <w:bCs/>
                <w:sz w:val="16"/>
                <w:szCs w:val="16"/>
              </w:rPr>
              <w:t xml:space="preserve"> </w:t>
            </w:r>
            <w:proofErr w:type="spellStart"/>
            <w:r w:rsidRPr="00D52B05">
              <w:rPr>
                <w:rFonts w:ascii="Arial" w:hAnsi="Arial" w:cs="Arial"/>
                <w:b/>
                <w:bCs/>
                <w:sz w:val="16"/>
                <w:szCs w:val="16"/>
              </w:rPr>
              <w:t>Тел.факс</w:t>
            </w:r>
            <w:proofErr w:type="spellEnd"/>
            <w:r w:rsidRPr="00D52B05">
              <w:rPr>
                <w:rFonts w:ascii="Arial" w:hAnsi="Arial" w:cs="Arial"/>
                <w:b/>
                <w:bCs/>
                <w:sz w:val="16"/>
                <w:szCs w:val="16"/>
              </w:rPr>
              <w:t>: 57-64-</w:t>
            </w:r>
            <w:proofErr w:type="gramStart"/>
            <w:r w:rsidRPr="00D52B05">
              <w:rPr>
                <w:rFonts w:ascii="Arial" w:hAnsi="Arial" w:cs="Arial"/>
                <w:b/>
                <w:bCs/>
                <w:sz w:val="16"/>
                <w:szCs w:val="16"/>
              </w:rPr>
              <w:t xml:space="preserve">69,  </w:t>
            </w:r>
            <w:proofErr w:type="spellStart"/>
            <w:r w:rsidRPr="00D52B05">
              <w:rPr>
                <w:rFonts w:ascii="Arial" w:hAnsi="Arial" w:cs="Arial"/>
                <w:b/>
                <w:bCs/>
                <w:sz w:val="16"/>
                <w:szCs w:val="16"/>
                <w:lang w:val="en-US"/>
              </w:rPr>
              <w:t>prokaluga</w:t>
            </w:r>
            <w:proofErr w:type="spellEnd"/>
            <w:r>
              <w:rPr>
                <w:rFonts w:ascii="Arial" w:hAnsi="Arial" w:cs="Arial"/>
                <w:b/>
                <w:bCs/>
                <w:sz w:val="16"/>
                <w:szCs w:val="16"/>
              </w:rPr>
              <w:t>40</w:t>
            </w:r>
            <w:r w:rsidRPr="00D52B05">
              <w:rPr>
                <w:rFonts w:ascii="Arial" w:hAnsi="Arial" w:cs="Arial"/>
                <w:b/>
                <w:bCs/>
                <w:sz w:val="16"/>
                <w:szCs w:val="16"/>
              </w:rPr>
              <w:t>@</w:t>
            </w:r>
            <w:r w:rsidRPr="00D52B05">
              <w:rPr>
                <w:rFonts w:ascii="Arial" w:hAnsi="Arial" w:cs="Arial"/>
                <w:b/>
                <w:bCs/>
                <w:sz w:val="16"/>
                <w:szCs w:val="16"/>
                <w:lang w:val="en-US"/>
              </w:rPr>
              <w:t>mail</w:t>
            </w:r>
            <w:r w:rsidRPr="00D52B05">
              <w:rPr>
                <w:rFonts w:ascii="Arial" w:hAnsi="Arial" w:cs="Arial"/>
                <w:b/>
                <w:bCs/>
                <w:sz w:val="16"/>
                <w:szCs w:val="16"/>
              </w:rPr>
              <w:t>.</w:t>
            </w:r>
            <w:proofErr w:type="spellStart"/>
            <w:r w:rsidRPr="00D52B05">
              <w:rPr>
                <w:rFonts w:ascii="Arial" w:hAnsi="Arial" w:cs="Arial"/>
                <w:b/>
                <w:bCs/>
                <w:sz w:val="16"/>
                <w:szCs w:val="16"/>
                <w:lang w:val="en-US"/>
              </w:rPr>
              <w:t>ru</w:t>
            </w:r>
            <w:proofErr w:type="spellEnd"/>
            <w:proofErr w:type="gramEnd"/>
          </w:p>
          <w:p w:rsidR="00DF1AE1" w:rsidRPr="00D52B05" w:rsidRDefault="00DF1AE1" w:rsidP="00E96868">
            <w:pPr>
              <w:pBdr>
                <w:top w:val="single" w:sz="4" w:space="1" w:color="auto"/>
                <w:left w:val="single" w:sz="4" w:space="4" w:color="auto"/>
                <w:bottom w:val="single" w:sz="4" w:space="1" w:color="auto"/>
                <w:right w:val="single" w:sz="4" w:space="4" w:color="auto"/>
              </w:pBdr>
              <w:tabs>
                <w:tab w:val="left" w:pos="6030"/>
              </w:tabs>
              <w:jc w:val="center"/>
              <w:rPr>
                <w:rFonts w:ascii="Arial" w:hAnsi="Arial" w:cs="Arial"/>
                <w:b/>
                <w:sz w:val="16"/>
                <w:szCs w:val="16"/>
              </w:rPr>
            </w:pPr>
            <w:r>
              <w:rPr>
                <w:rFonts w:ascii="Arial" w:hAnsi="Arial" w:cs="Arial"/>
                <w:b/>
                <w:sz w:val="16"/>
                <w:szCs w:val="16"/>
              </w:rPr>
              <w:t>Калуга, сентябрь, 2026</w:t>
            </w:r>
          </w:p>
          <w:p w:rsidR="00DF1AE1" w:rsidRDefault="006B3E70" w:rsidP="00E96868">
            <w:pPr>
              <w:pBdr>
                <w:top w:val="single" w:sz="4" w:space="1" w:color="auto"/>
                <w:left w:val="single" w:sz="4" w:space="4" w:color="auto"/>
                <w:bottom w:val="single" w:sz="4" w:space="1" w:color="auto"/>
                <w:right w:val="single" w:sz="4" w:space="4" w:color="auto"/>
              </w:pBdr>
              <w:tabs>
                <w:tab w:val="left" w:pos="6030"/>
              </w:tabs>
              <w:jc w:val="center"/>
              <w:rPr>
                <w:sz w:val="28"/>
                <w:szCs w:val="28"/>
              </w:rPr>
            </w:pPr>
            <w:hyperlink r:id="rId9" w:history="1">
              <w:r w:rsidR="00DF1AE1" w:rsidRPr="00D52B05">
                <w:rPr>
                  <w:rStyle w:val="a4"/>
                  <w:color w:val="FF0000"/>
                  <w:sz w:val="16"/>
                  <w:szCs w:val="16"/>
                </w:rPr>
                <w:t>https://www.eseur.ru/kaluga/</w:t>
              </w:r>
            </w:hyperlink>
          </w:p>
        </w:tc>
      </w:tr>
    </w:tbl>
    <w:p w:rsidR="00DF1AE1" w:rsidRPr="00E051E0" w:rsidRDefault="00DF1AE1" w:rsidP="00DF1AE1">
      <w:pPr>
        <w:spacing w:after="0" w:line="240" w:lineRule="auto"/>
        <w:jc w:val="both"/>
        <w:rPr>
          <w:rFonts w:ascii="Times New Roman" w:eastAsia="Times New Roman" w:hAnsi="Times New Roman" w:cs="Times New Roman"/>
          <w:sz w:val="24"/>
          <w:szCs w:val="24"/>
          <w:lang w:eastAsia="ru-RU"/>
        </w:rPr>
      </w:pPr>
    </w:p>
    <w:p w:rsidR="00DF1AE1" w:rsidRDefault="00DF1AE1" w:rsidP="00DF1AE1"/>
    <w:p w:rsidR="001339BF" w:rsidRDefault="006B3E70"/>
    <w:sectPr w:rsidR="001339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AE1"/>
    <w:rsid w:val="001545F9"/>
    <w:rsid w:val="006B3E70"/>
    <w:rsid w:val="00A62779"/>
    <w:rsid w:val="00B205E9"/>
    <w:rsid w:val="00D429DE"/>
    <w:rsid w:val="00DF1A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CC686"/>
  <w15:chartTrackingRefBased/>
  <w15:docId w15:val="{63441952-48FA-45F0-94BE-98C9D533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1A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1A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DF1AE1"/>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DF1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F1AE1"/>
    <w:rPr>
      <w:color w:val="0000FF"/>
      <w:u w:val="single"/>
    </w:rPr>
  </w:style>
  <w:style w:type="paragraph" w:customStyle="1" w:styleId="s1">
    <w:name w:val="s_1"/>
    <w:basedOn w:val="a"/>
    <w:rsid w:val="00DF1A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74">
    <w:name w:val="s_74"/>
    <w:basedOn w:val="a"/>
    <w:rsid w:val="00DF1A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DF1AE1"/>
  </w:style>
  <w:style w:type="paragraph" w:styleId="a5">
    <w:name w:val="Balloon Text"/>
    <w:basedOn w:val="a"/>
    <w:link w:val="a6"/>
    <w:uiPriority w:val="99"/>
    <w:semiHidden/>
    <w:unhideWhenUsed/>
    <w:rsid w:val="00A6277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627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webSettings" Target="webSettings.xml"/><Relationship Id="rId7" Type="http://schemas.openxmlformats.org/officeDocument/2006/relationships/hyperlink" Target="https://internet.gar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seur.ru/kaluga/"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eseur.ru/kalug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564</Words>
  <Characters>3215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2026-09-25T09:38:00Z</cp:lastPrinted>
  <dcterms:created xsi:type="dcterms:W3CDTF">2026-09-25T09:33:00Z</dcterms:created>
  <dcterms:modified xsi:type="dcterms:W3CDTF">2026-10-02T05:58:00Z</dcterms:modified>
</cp:coreProperties>
</file>