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C59" w:rsidRDefault="00C35C59" w:rsidP="00C35C59"/>
    <w:p w:rsidR="00C35C59" w:rsidRDefault="00C35C59" w:rsidP="00C35C59"/>
    <w:tbl>
      <w:tblPr>
        <w:tblStyle w:val="a4"/>
        <w:tblW w:w="10915" w:type="dxa"/>
        <w:tblInd w:w="-1139" w:type="dxa"/>
        <w:tblLayout w:type="fixed"/>
        <w:tblLook w:val="04A0" w:firstRow="1" w:lastRow="0" w:firstColumn="1" w:lastColumn="0" w:noHBand="0" w:noVBand="1"/>
      </w:tblPr>
      <w:tblGrid>
        <w:gridCol w:w="10915"/>
      </w:tblGrid>
      <w:tr w:rsidR="00C35C59" w:rsidRPr="006379C8" w:rsidTr="00595A6B">
        <w:trPr>
          <w:trHeight w:val="3251"/>
        </w:trPr>
        <w:tc>
          <w:tcPr>
            <w:tcW w:w="10915" w:type="dxa"/>
            <w:tcBorders>
              <w:top w:val="single" w:sz="4" w:space="0" w:color="auto"/>
              <w:left w:val="single" w:sz="4" w:space="0" w:color="auto"/>
              <w:bottom w:val="single" w:sz="4" w:space="0" w:color="auto"/>
              <w:right w:val="single" w:sz="4" w:space="0" w:color="auto"/>
            </w:tcBorders>
          </w:tcPr>
          <w:p w:rsidR="00C35C59" w:rsidRDefault="00C35C59" w:rsidP="00595A6B">
            <w:pPr>
              <w:pStyle w:val="ConsPlusNormal"/>
              <w:jc w:val="center"/>
              <w:rPr>
                <w:b/>
                <w:color w:val="FF0000"/>
                <w:szCs w:val="22"/>
                <w:lang w:eastAsia="en-US"/>
              </w:rPr>
            </w:pPr>
            <w:r>
              <w:rPr>
                <w:b/>
                <w:color w:val="FF0000"/>
                <w:szCs w:val="22"/>
                <w:lang w:eastAsia="en-US"/>
              </w:rPr>
              <w:t xml:space="preserve">   </w:t>
            </w:r>
            <w:r w:rsidRPr="00531C11">
              <w:rPr>
                <w:b/>
                <w:color w:val="FF0000"/>
                <w:szCs w:val="22"/>
                <w:lang w:eastAsia="en-US"/>
              </w:rPr>
              <w:t>2025- Год 80-летия Победы в Великой Отечественной войне</w:t>
            </w:r>
          </w:p>
          <w:p w:rsidR="00C35C59" w:rsidRPr="00531C11" w:rsidRDefault="00C35C59" w:rsidP="00595A6B">
            <w:pPr>
              <w:pStyle w:val="ConsPlusNormal"/>
              <w:jc w:val="center"/>
              <w:rPr>
                <w:b/>
                <w:color w:val="FF0000"/>
                <w:szCs w:val="22"/>
                <w:lang w:eastAsia="en-US"/>
              </w:rPr>
            </w:pPr>
          </w:p>
          <w:tbl>
            <w:tblPr>
              <w:tblStyle w:val="a4"/>
              <w:tblW w:w="10666" w:type="dxa"/>
              <w:tblLayout w:type="fixed"/>
              <w:tblLook w:val="04A0" w:firstRow="1" w:lastRow="0" w:firstColumn="1" w:lastColumn="0" w:noHBand="0" w:noVBand="1"/>
            </w:tblPr>
            <w:tblGrid>
              <w:gridCol w:w="4859"/>
              <w:gridCol w:w="5807"/>
            </w:tblGrid>
            <w:tr w:rsidR="00C35C59" w:rsidRPr="00531C11" w:rsidTr="00595A6B">
              <w:trPr>
                <w:trHeight w:val="2611"/>
              </w:trPr>
              <w:tc>
                <w:tcPr>
                  <w:tcW w:w="4859" w:type="dxa"/>
                  <w:tcBorders>
                    <w:top w:val="single" w:sz="4" w:space="0" w:color="auto"/>
                    <w:left w:val="single" w:sz="4" w:space="0" w:color="auto"/>
                    <w:bottom w:val="single" w:sz="4" w:space="0" w:color="auto"/>
                    <w:right w:val="single" w:sz="4" w:space="0" w:color="auto"/>
                  </w:tcBorders>
                  <w:hideMark/>
                </w:tcPr>
                <w:p w:rsidR="00C35C59" w:rsidRDefault="00C35C59" w:rsidP="00595A6B">
                  <w:pPr>
                    <w:pStyle w:val="ConsPlusNormal"/>
                    <w:tabs>
                      <w:tab w:val="left" w:pos="87"/>
                      <w:tab w:val="left" w:pos="3432"/>
                    </w:tabs>
                    <w:ind w:left="-234"/>
                    <w:jc w:val="center"/>
                    <w:rPr>
                      <w:color w:val="FF0000"/>
                      <w:szCs w:val="22"/>
                      <w:lang w:eastAsia="en-US"/>
                    </w:rPr>
                  </w:pPr>
                  <w:r w:rsidRPr="00531C11">
                    <w:rPr>
                      <w:noProof/>
                      <w:szCs w:val="22"/>
                    </w:rPr>
                    <w:drawing>
                      <wp:inline distT="0" distB="0" distL="0" distR="0" wp14:anchorId="6C16FD26" wp14:editId="48FA9756">
                        <wp:extent cx="1371600" cy="1505273"/>
                        <wp:effectExtent l="0" t="0" r="0" b="0"/>
                        <wp:docPr id="4" name="Рисунок 4"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87890" cy="1523151"/>
                                </a:xfrm>
                                <a:prstGeom prst="rect">
                                  <a:avLst/>
                                </a:prstGeom>
                                <a:noFill/>
                                <a:ln>
                                  <a:noFill/>
                                </a:ln>
                              </pic:spPr>
                            </pic:pic>
                          </a:graphicData>
                        </a:graphic>
                      </wp:inline>
                    </w:drawing>
                  </w:r>
                  <w:r w:rsidRPr="00531C11">
                    <w:rPr>
                      <w:noProof/>
                      <w:szCs w:val="22"/>
                    </w:rPr>
                    <w:drawing>
                      <wp:inline distT="0" distB="0" distL="0" distR="0" wp14:anchorId="508C93E2" wp14:editId="3C12368B">
                        <wp:extent cx="1036320" cy="1501140"/>
                        <wp:effectExtent l="0" t="0" r="0" b="3810"/>
                        <wp:docPr id="5" name="Рисунок 5"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p>
                <w:p w:rsidR="00C35C59" w:rsidRPr="00531C11" w:rsidRDefault="00C35C59" w:rsidP="00595A6B">
                  <w:pPr>
                    <w:pStyle w:val="ConsPlusNormal"/>
                    <w:tabs>
                      <w:tab w:val="left" w:pos="87"/>
                      <w:tab w:val="left" w:pos="3432"/>
                    </w:tabs>
                    <w:ind w:left="-234"/>
                    <w:jc w:val="center"/>
                    <w:rPr>
                      <w:szCs w:val="22"/>
                      <w:lang w:eastAsia="en-US"/>
                    </w:rPr>
                  </w:pPr>
                  <w:r w:rsidRPr="00531C11">
                    <w:rPr>
                      <w:color w:val="FF0000"/>
                      <w:szCs w:val="22"/>
                      <w:lang w:eastAsia="en-US"/>
                    </w:rPr>
                    <w:t>Правовая</w:t>
                  </w:r>
                  <w:r w:rsidRPr="00531C11">
                    <w:rPr>
                      <w:szCs w:val="22"/>
                      <w:lang w:eastAsia="en-US"/>
                    </w:rPr>
                    <w:t xml:space="preserve"> </w:t>
                  </w:r>
                  <w:r w:rsidRPr="00531C11">
                    <w:rPr>
                      <w:color w:val="4472C4" w:themeColor="accent5"/>
                      <w:szCs w:val="22"/>
                      <w:lang w:eastAsia="en-US"/>
                    </w:rPr>
                    <w:t xml:space="preserve">инспекция </w:t>
                  </w:r>
                  <w:r w:rsidRPr="00531C11">
                    <w:rPr>
                      <w:color w:val="70AD47" w:themeColor="accent6"/>
                      <w:szCs w:val="22"/>
                      <w:lang w:eastAsia="en-US"/>
                    </w:rPr>
                    <w:t>труда</w:t>
                  </w:r>
                  <w:r w:rsidRPr="00531C11">
                    <w:rPr>
                      <w:szCs w:val="22"/>
                      <w:lang w:eastAsia="en-US"/>
                    </w:rPr>
                    <w:t xml:space="preserve"> Профсоюза</w:t>
                  </w:r>
                </w:p>
              </w:tc>
              <w:tc>
                <w:tcPr>
                  <w:tcW w:w="5807" w:type="dxa"/>
                  <w:tcBorders>
                    <w:top w:val="single" w:sz="4" w:space="0" w:color="auto"/>
                    <w:left w:val="single" w:sz="4" w:space="0" w:color="auto"/>
                    <w:bottom w:val="single" w:sz="4" w:space="0" w:color="auto"/>
                    <w:right w:val="single" w:sz="4" w:space="0" w:color="auto"/>
                  </w:tcBorders>
                </w:tcPr>
                <w:p w:rsidR="00C35C59" w:rsidRPr="00531C11" w:rsidRDefault="00C35C59" w:rsidP="00595A6B">
                  <w:pPr>
                    <w:jc w:val="center"/>
                    <w:rPr>
                      <w:b/>
                    </w:rPr>
                  </w:pPr>
                  <w:r w:rsidRPr="00531C11">
                    <w:rPr>
                      <w:b/>
                    </w:rPr>
                    <w:t xml:space="preserve">КАЛУЖСКАЯ ОБЛАСТНАЯ ОРГАНИЗАЦИЯ </w:t>
                  </w:r>
                </w:p>
                <w:p w:rsidR="00C35C59" w:rsidRPr="00531C11" w:rsidRDefault="00C35C59" w:rsidP="00595A6B">
                  <w:pPr>
                    <w:jc w:val="center"/>
                    <w:rPr>
                      <w:b/>
                    </w:rPr>
                  </w:pPr>
                  <w:r w:rsidRPr="00531C11">
                    <w:rPr>
                      <w:b/>
                    </w:rPr>
                    <w:t>ОБЩЕРОССИЙСКОГО ПРОФСОЮЗА ОБРАЗОВАНИЯ</w:t>
                  </w:r>
                </w:p>
                <w:p w:rsidR="00C35C59" w:rsidRPr="00531C11" w:rsidRDefault="00C35C59" w:rsidP="00595A6B">
                  <w:pPr>
                    <w:pStyle w:val="ConsPlusTitle"/>
                    <w:jc w:val="center"/>
                    <w:rPr>
                      <w:szCs w:val="22"/>
                    </w:rPr>
                  </w:pPr>
                </w:p>
                <w:p w:rsidR="00C35C59" w:rsidRPr="00531C11" w:rsidRDefault="00D01F63" w:rsidP="00595A6B">
                  <w:pPr>
                    <w:pStyle w:val="ConsPlusTitle"/>
                    <w:jc w:val="center"/>
                    <w:rPr>
                      <w:color w:val="222A35" w:themeColor="text2" w:themeShade="80"/>
                      <w:szCs w:val="22"/>
                      <w:lang w:eastAsia="en-US"/>
                    </w:rPr>
                  </w:pPr>
                  <w:hyperlink r:id="rId6" w:history="1">
                    <w:r w:rsidR="00C35C59" w:rsidRPr="00531C11">
                      <w:rPr>
                        <w:rStyle w:val="a3"/>
                        <w:color w:val="222A35" w:themeColor="text2" w:themeShade="80"/>
                        <w:szCs w:val="22"/>
                      </w:rPr>
                      <w:t>https://www.eseur.ru/kaluga/</w:t>
                    </w:r>
                  </w:hyperlink>
                </w:p>
                <w:p w:rsidR="00C35C59" w:rsidRPr="00531C11" w:rsidRDefault="00C35C59" w:rsidP="00595A6B">
                  <w:pPr>
                    <w:pStyle w:val="ConsPlusTitle"/>
                    <w:jc w:val="center"/>
                    <w:rPr>
                      <w:color w:val="222A35" w:themeColor="text2" w:themeShade="80"/>
                      <w:szCs w:val="22"/>
                      <w:lang w:eastAsia="en-US"/>
                    </w:rPr>
                  </w:pPr>
                </w:p>
                <w:p w:rsidR="00C35C59" w:rsidRDefault="00C35C59" w:rsidP="00595A6B">
                  <w:pPr>
                    <w:pStyle w:val="ConsPlusTitle"/>
                    <w:jc w:val="center"/>
                    <w:rPr>
                      <w:color w:val="FF0000"/>
                      <w:szCs w:val="22"/>
                      <w:lang w:eastAsia="en-US"/>
                    </w:rPr>
                  </w:pPr>
                  <w:r w:rsidRPr="00531C11">
                    <w:rPr>
                      <w:color w:val="FF0000"/>
                      <w:szCs w:val="22"/>
                      <w:lang w:eastAsia="en-US"/>
                    </w:rPr>
                    <w:t>Информационный листок №</w:t>
                  </w:r>
                  <w:r>
                    <w:rPr>
                      <w:color w:val="FF0000"/>
                      <w:szCs w:val="22"/>
                      <w:lang w:eastAsia="en-US"/>
                    </w:rPr>
                    <w:t xml:space="preserve"> 53</w:t>
                  </w:r>
                </w:p>
                <w:p w:rsidR="00C35C59" w:rsidRDefault="00C35C59" w:rsidP="00595A6B">
                  <w:pPr>
                    <w:pStyle w:val="ConsPlusTitle"/>
                    <w:jc w:val="center"/>
                    <w:rPr>
                      <w:color w:val="FF0000"/>
                      <w:szCs w:val="22"/>
                      <w:lang w:eastAsia="en-US"/>
                    </w:rPr>
                  </w:pPr>
                </w:p>
                <w:p w:rsidR="00C35C59" w:rsidRPr="00324114" w:rsidRDefault="00C35C59" w:rsidP="00595A6B">
                  <w:pPr>
                    <w:tabs>
                      <w:tab w:val="left" w:pos="709"/>
                    </w:tabs>
                    <w:jc w:val="center"/>
                    <w:rPr>
                      <w:b/>
                      <w:bCs/>
                      <w:color w:val="ED7D31" w:themeColor="accent2"/>
                      <w:kern w:val="36"/>
                    </w:rPr>
                  </w:pPr>
                  <w:r>
                    <w:rPr>
                      <w:b/>
                      <w:bCs/>
                      <w:color w:val="ED7D31" w:themeColor="accent2"/>
                      <w:kern w:val="36"/>
                    </w:rPr>
                    <w:t>Министерство просвещения РФ рекомендует…</w:t>
                  </w:r>
                </w:p>
              </w:tc>
            </w:tr>
          </w:tbl>
          <w:p w:rsidR="00C35C59" w:rsidRPr="00830BBF" w:rsidRDefault="00C35C59" w:rsidP="00595A6B">
            <w:pPr>
              <w:pStyle w:val="s1"/>
              <w:shd w:val="clear" w:color="auto" w:fill="FFFFFF"/>
              <w:jc w:val="both"/>
              <w:rPr>
                <w:color w:val="22272F"/>
                <w:sz w:val="23"/>
                <w:szCs w:val="23"/>
              </w:rPr>
            </w:pPr>
          </w:p>
        </w:tc>
      </w:tr>
      <w:tr w:rsidR="00C35C59" w:rsidRPr="00B54EC3" w:rsidTr="00595A6B">
        <w:trPr>
          <w:trHeight w:val="4957"/>
        </w:trPr>
        <w:tc>
          <w:tcPr>
            <w:tcW w:w="10915" w:type="dxa"/>
            <w:tcBorders>
              <w:top w:val="single" w:sz="4" w:space="0" w:color="auto"/>
              <w:left w:val="single" w:sz="4" w:space="0" w:color="auto"/>
              <w:bottom w:val="single" w:sz="4" w:space="0" w:color="auto"/>
              <w:right w:val="single" w:sz="4" w:space="0" w:color="auto"/>
            </w:tcBorders>
          </w:tcPr>
          <w:p w:rsidR="00C35C59" w:rsidRPr="00C35C59" w:rsidRDefault="00C35C59" w:rsidP="00C35C59">
            <w:pPr>
              <w:tabs>
                <w:tab w:val="left" w:pos="709"/>
              </w:tabs>
              <w:rPr>
                <w:sz w:val="22"/>
                <w:szCs w:val="22"/>
              </w:rPr>
            </w:pPr>
          </w:p>
          <w:p w:rsidR="00C35C59" w:rsidRPr="00C35C59" w:rsidRDefault="00C35C59" w:rsidP="00C35C59">
            <w:pPr>
              <w:tabs>
                <w:tab w:val="left" w:pos="709"/>
              </w:tabs>
              <w:rPr>
                <w:b/>
                <w:sz w:val="24"/>
                <w:szCs w:val="24"/>
              </w:rPr>
            </w:pPr>
            <w:r w:rsidRPr="00C35C59">
              <w:rPr>
                <w:sz w:val="22"/>
                <w:szCs w:val="22"/>
              </w:rPr>
              <w:tab/>
            </w:r>
            <w:r w:rsidRPr="00C35C59">
              <w:rPr>
                <w:b/>
                <w:sz w:val="24"/>
                <w:szCs w:val="24"/>
              </w:rPr>
              <w:t>Письмо Министерства просвещения РФ от 30 июня 2025 г. № ОК-1902/08 «О примерных штатных нормативах»</w:t>
            </w:r>
          </w:p>
          <w:p w:rsidR="00C35C59" w:rsidRPr="00C35C59" w:rsidRDefault="00C35C59" w:rsidP="00C35C59">
            <w:pPr>
              <w:tabs>
                <w:tab w:val="left" w:pos="709"/>
              </w:tabs>
              <w:rPr>
                <w:sz w:val="24"/>
                <w:szCs w:val="24"/>
              </w:rPr>
            </w:pPr>
            <w:r w:rsidRPr="00C35C59">
              <w:rPr>
                <w:sz w:val="24"/>
                <w:szCs w:val="24"/>
              </w:rPr>
              <w:tab/>
            </w:r>
            <w:proofErr w:type="spellStart"/>
            <w:r w:rsidRPr="00C35C59">
              <w:rPr>
                <w:sz w:val="24"/>
                <w:szCs w:val="24"/>
              </w:rPr>
              <w:t>Минпросвещения</w:t>
            </w:r>
            <w:proofErr w:type="spellEnd"/>
            <w:r w:rsidRPr="00C35C59">
              <w:rPr>
                <w:sz w:val="24"/>
                <w:szCs w:val="24"/>
              </w:rPr>
              <w:t>: примерные штатные нормативы численности работников образовательных организаций, направленные письмом от 23.06.2025 N ОК-1835/08, имеют рекомендательный характер</w:t>
            </w:r>
          </w:p>
          <w:p w:rsidR="00C35C59" w:rsidRPr="00C35C59" w:rsidRDefault="00C35C59" w:rsidP="00C35C59">
            <w:pPr>
              <w:tabs>
                <w:tab w:val="left" w:pos="709"/>
              </w:tabs>
              <w:rPr>
                <w:sz w:val="24"/>
                <w:szCs w:val="24"/>
              </w:rPr>
            </w:pPr>
            <w:r w:rsidRPr="00C35C59">
              <w:rPr>
                <w:sz w:val="24"/>
                <w:szCs w:val="24"/>
              </w:rPr>
              <w:tab/>
              <w:t>Сообщается также, что использование примерных штатных нормативов в отношении должности "советник директора по воспитанию и взаимодействию с детскими общественными объединениями" имеет определенные особенности.</w:t>
            </w:r>
          </w:p>
          <w:p w:rsidR="00C35C59" w:rsidRPr="00C35C59" w:rsidRDefault="00C35C59" w:rsidP="00C35C59">
            <w:pPr>
              <w:tabs>
                <w:tab w:val="left" w:pos="709"/>
              </w:tabs>
              <w:rPr>
                <w:sz w:val="24"/>
                <w:szCs w:val="24"/>
              </w:rPr>
            </w:pPr>
            <w:r w:rsidRPr="00C35C59">
              <w:rPr>
                <w:sz w:val="24"/>
                <w:szCs w:val="24"/>
              </w:rPr>
              <w:tab/>
              <w:t>В частности, отмечено, что в случае принятия решения о введении в общеобразовательных организациях субъекта РФ на основании примерных штатных нормативов дополнительных ставок советников по воспитанию расходы на обеспечение деятельности указанных советников по воспитанию осуществляются за счет средств бюджета субъекта РФ или бюджетов органов местного самоуправления.</w:t>
            </w:r>
          </w:p>
          <w:p w:rsidR="00C35C59" w:rsidRPr="00C35C59" w:rsidRDefault="00C35C59" w:rsidP="00C35C59">
            <w:pPr>
              <w:tabs>
                <w:tab w:val="left" w:pos="709"/>
              </w:tabs>
              <w:rPr>
                <w:sz w:val="24"/>
                <w:szCs w:val="24"/>
              </w:rPr>
            </w:pPr>
          </w:p>
          <w:p w:rsidR="00C35C59" w:rsidRPr="00C35C59" w:rsidRDefault="00C35C59" w:rsidP="00C35C59">
            <w:pPr>
              <w:tabs>
                <w:tab w:val="left" w:pos="709"/>
              </w:tabs>
              <w:rPr>
                <w:b/>
                <w:sz w:val="24"/>
                <w:szCs w:val="24"/>
              </w:rPr>
            </w:pPr>
            <w:r w:rsidRPr="00C35C59">
              <w:rPr>
                <w:b/>
                <w:sz w:val="24"/>
                <w:szCs w:val="24"/>
              </w:rPr>
              <w:t>Письмо Министерства просвещения РФ от 17 июля 2025 г. № 03-1385 «Об использовании методических рекомендаций»</w:t>
            </w:r>
          </w:p>
          <w:p w:rsidR="00C35C59" w:rsidRPr="00C35C59" w:rsidRDefault="00C35C59" w:rsidP="00C35C59">
            <w:pPr>
              <w:tabs>
                <w:tab w:val="left" w:pos="709"/>
              </w:tabs>
              <w:rPr>
                <w:sz w:val="24"/>
                <w:szCs w:val="24"/>
              </w:rPr>
            </w:pPr>
            <w:r w:rsidRPr="00C35C59">
              <w:rPr>
                <w:sz w:val="24"/>
                <w:szCs w:val="24"/>
              </w:rPr>
              <w:tab/>
              <w:t>Подготовлены Методические рекомендации по оценке поведения обучающихся с 1 по 8 классы в отдельных общеобразовательных организациях субъектов РФ</w:t>
            </w:r>
          </w:p>
          <w:p w:rsidR="00C35C59" w:rsidRPr="00C35C59" w:rsidRDefault="00C35C59" w:rsidP="00C35C59">
            <w:pPr>
              <w:tabs>
                <w:tab w:val="left" w:pos="709"/>
              </w:tabs>
              <w:rPr>
                <w:sz w:val="24"/>
                <w:szCs w:val="24"/>
              </w:rPr>
            </w:pPr>
            <w:r w:rsidRPr="00C35C59">
              <w:rPr>
                <w:sz w:val="24"/>
                <w:szCs w:val="24"/>
              </w:rPr>
              <w:tab/>
              <w:t>Методические рекомендации определяют вариант организации деятельности образовательных организаций в период апробации различных моделей оценки поведения обучающихся с 1 по 8 классы.</w:t>
            </w:r>
          </w:p>
          <w:p w:rsidR="00C35C59" w:rsidRPr="00C35C59" w:rsidRDefault="00C35C59" w:rsidP="00C35C59">
            <w:pPr>
              <w:tabs>
                <w:tab w:val="left" w:pos="709"/>
              </w:tabs>
              <w:rPr>
                <w:sz w:val="24"/>
                <w:szCs w:val="24"/>
              </w:rPr>
            </w:pPr>
            <w:r w:rsidRPr="00C35C59">
              <w:rPr>
                <w:sz w:val="24"/>
                <w:szCs w:val="24"/>
              </w:rPr>
              <w:tab/>
              <w:t>Методические рекомендации распространяются на процесс оценивания поведения обучающихся с 1 по 8 классы, включая обучающихся с ОВЗ. Отмечено, что промежуточные и итоговые оценки за поведение обучающихся с 1 по 8 классы не влияют на результаты выпускников 9, 11 классов.</w:t>
            </w:r>
          </w:p>
          <w:p w:rsidR="00C35C59" w:rsidRPr="00C35C59" w:rsidRDefault="00C35C59" w:rsidP="00C35C59">
            <w:pPr>
              <w:tabs>
                <w:tab w:val="left" w:pos="709"/>
              </w:tabs>
              <w:rPr>
                <w:sz w:val="24"/>
                <w:szCs w:val="24"/>
              </w:rPr>
            </w:pPr>
            <w:r w:rsidRPr="00C35C59">
              <w:rPr>
                <w:sz w:val="24"/>
                <w:szCs w:val="24"/>
              </w:rPr>
              <w:tab/>
              <w:t>Методические рекомендации разработаны с целью обеспечения в образовательной организации объективности на основе комплексного подхода к оценке поведения обучающихся с 1 по 8 классы и установлению единых требований к организации и технологии оценивания в образовательной организации. Они являются основой для разработки локальных нормативных правовых актов образовательной организации, регулирующих аналогичные вопросы.</w:t>
            </w:r>
          </w:p>
          <w:p w:rsidR="00C35C59" w:rsidRPr="00C35C59" w:rsidRDefault="00C35C59" w:rsidP="00C35C59">
            <w:pPr>
              <w:tabs>
                <w:tab w:val="left" w:pos="709"/>
              </w:tabs>
              <w:rPr>
                <w:sz w:val="22"/>
                <w:szCs w:val="22"/>
              </w:rPr>
            </w:pPr>
          </w:p>
          <w:p w:rsidR="00C35C59" w:rsidRPr="00C35C59" w:rsidRDefault="00C35C59" w:rsidP="00C35C59">
            <w:pPr>
              <w:tabs>
                <w:tab w:val="left" w:pos="709"/>
              </w:tabs>
              <w:spacing w:line="360" w:lineRule="auto"/>
              <w:rPr>
                <w:sz w:val="22"/>
                <w:szCs w:val="22"/>
              </w:rPr>
            </w:pPr>
          </w:p>
        </w:tc>
      </w:tr>
      <w:tr w:rsidR="00C35C59" w:rsidTr="00595A6B">
        <w:trPr>
          <w:trHeight w:val="1564"/>
        </w:trPr>
        <w:tc>
          <w:tcPr>
            <w:tcW w:w="10915" w:type="dxa"/>
            <w:tcBorders>
              <w:top w:val="single" w:sz="4" w:space="0" w:color="auto"/>
              <w:left w:val="single" w:sz="4" w:space="0" w:color="auto"/>
              <w:bottom w:val="single" w:sz="4" w:space="0" w:color="auto"/>
              <w:right w:val="single" w:sz="4" w:space="0" w:color="auto"/>
            </w:tcBorders>
          </w:tcPr>
          <w:p w:rsidR="00C35C59" w:rsidRDefault="00C35C59" w:rsidP="00595A6B">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C35C59" w:rsidRPr="00D52B05" w:rsidRDefault="00C35C59" w:rsidP="00595A6B">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C35C59" w:rsidRPr="00D52B05" w:rsidRDefault="00C35C59" w:rsidP="00595A6B">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C35C59" w:rsidRPr="00D52B05" w:rsidRDefault="00C35C59" w:rsidP="00595A6B">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октябрь, 2025</w:t>
            </w:r>
          </w:p>
          <w:p w:rsidR="00C35C59" w:rsidRDefault="00D01F63" w:rsidP="00595A6B">
            <w:pPr>
              <w:pBdr>
                <w:top w:val="single" w:sz="4" w:space="1" w:color="auto"/>
                <w:left w:val="single" w:sz="4" w:space="4" w:color="auto"/>
                <w:bottom w:val="single" w:sz="4" w:space="1" w:color="auto"/>
                <w:right w:val="single" w:sz="4" w:space="4" w:color="auto"/>
              </w:pBdr>
              <w:tabs>
                <w:tab w:val="left" w:pos="6030"/>
              </w:tabs>
              <w:jc w:val="center"/>
            </w:pPr>
            <w:hyperlink r:id="rId7" w:history="1">
              <w:r w:rsidR="00C35C59" w:rsidRPr="00D52B05">
                <w:rPr>
                  <w:rStyle w:val="a3"/>
                  <w:color w:val="FF0000"/>
                  <w:sz w:val="16"/>
                  <w:szCs w:val="16"/>
                </w:rPr>
                <w:t>https://www.eseur.ru/kaluga/</w:t>
              </w:r>
            </w:hyperlink>
          </w:p>
        </w:tc>
      </w:tr>
    </w:tbl>
    <w:p w:rsidR="00C35C59" w:rsidRDefault="00C35C59" w:rsidP="00D01F63">
      <w:bookmarkStart w:id="0" w:name="_GoBack"/>
      <w:bookmarkEnd w:id="0"/>
    </w:p>
    <w:sectPr w:rsidR="00C35C59" w:rsidSect="004A24DA">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C59"/>
    <w:rsid w:val="001545F9"/>
    <w:rsid w:val="00C35C59"/>
    <w:rsid w:val="00D01F63"/>
    <w:rsid w:val="00D42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CCE79-5D80-4185-8857-C41586C4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C59"/>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5C59"/>
    <w:rPr>
      <w:color w:val="0563C1" w:themeColor="hyperlink"/>
      <w:u w:val="single"/>
    </w:rPr>
  </w:style>
  <w:style w:type="paragraph" w:customStyle="1" w:styleId="s1">
    <w:name w:val="s_1"/>
    <w:basedOn w:val="a"/>
    <w:rsid w:val="00C35C59"/>
    <w:pPr>
      <w:spacing w:before="100" w:beforeAutospacing="1" w:after="100" w:afterAutospacing="1"/>
      <w:jc w:val="left"/>
    </w:pPr>
    <w:rPr>
      <w:rFonts w:eastAsia="Times New Roman"/>
      <w:sz w:val="24"/>
      <w:szCs w:val="24"/>
      <w:lang w:eastAsia="ru-RU"/>
    </w:rPr>
  </w:style>
  <w:style w:type="paragraph" w:customStyle="1" w:styleId="ConsPlusNormal">
    <w:name w:val="ConsPlusNormal"/>
    <w:rsid w:val="00C35C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35C59"/>
    <w:pPr>
      <w:widowControl w:val="0"/>
      <w:autoSpaceDE w:val="0"/>
      <w:autoSpaceDN w:val="0"/>
      <w:spacing w:after="0" w:line="240" w:lineRule="auto"/>
    </w:pPr>
    <w:rPr>
      <w:rFonts w:ascii="Calibri" w:eastAsia="Times New Roman" w:hAnsi="Calibri" w:cs="Calibri"/>
      <w:b/>
      <w:szCs w:val="20"/>
      <w:lang w:eastAsia="ru-RU"/>
    </w:rPr>
  </w:style>
  <w:style w:type="table" w:styleId="a4">
    <w:name w:val="Table Grid"/>
    <w:basedOn w:val="a1"/>
    <w:uiPriority w:val="39"/>
    <w:rsid w:val="00C35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seur.ru/kalug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eur.ru/kaluga/"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2158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2025-10-20T09:09:00Z</dcterms:created>
  <dcterms:modified xsi:type="dcterms:W3CDTF">2025-10-21T13:36:00Z</dcterms:modified>
</cp:coreProperties>
</file>