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CC" w:rsidRDefault="008346CC" w:rsidP="008346CC"/>
    <w:p w:rsidR="008346CC" w:rsidRDefault="008346CC" w:rsidP="008346CC"/>
    <w:tbl>
      <w:tblPr>
        <w:tblStyle w:val="a4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8346CC" w:rsidRPr="006379C8" w:rsidTr="00D52BC0">
        <w:trPr>
          <w:trHeight w:val="325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CC" w:rsidRPr="00454FEF" w:rsidRDefault="008346CC" w:rsidP="00D52BC0">
            <w:pPr>
              <w:pStyle w:val="ConsPlusNormal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454FEF">
              <w:rPr>
                <w:b/>
                <w:color w:val="FF0000"/>
                <w:sz w:val="24"/>
                <w:szCs w:val="24"/>
                <w:lang w:eastAsia="en-US"/>
              </w:rPr>
              <w:t xml:space="preserve">   2025- Год 80-летия Победы в Великой Отечественной войне</w:t>
            </w:r>
          </w:p>
          <w:p w:rsidR="008346CC" w:rsidRPr="00454FEF" w:rsidRDefault="008346CC" w:rsidP="00D52BC0">
            <w:pPr>
              <w:pStyle w:val="ConsPlusNormal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  <w:tbl>
            <w:tblPr>
              <w:tblStyle w:val="a4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8346CC" w:rsidRPr="00454FEF" w:rsidTr="00D52BC0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46CC" w:rsidRPr="00454FEF" w:rsidRDefault="008346CC" w:rsidP="00D52BC0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  <w:r w:rsidRPr="00454FEF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6A00CD80" wp14:editId="3BD8AA66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54FEF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020DF169" wp14:editId="6BF30143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346CC" w:rsidRPr="00454FEF" w:rsidRDefault="008346CC" w:rsidP="00D52BC0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454FEF">
                    <w:rPr>
                      <w:color w:val="FF0000"/>
                      <w:sz w:val="24"/>
                      <w:szCs w:val="24"/>
                      <w:lang w:eastAsia="en-US"/>
                    </w:rPr>
                    <w:t>Правовая</w:t>
                  </w:r>
                  <w:r w:rsidRPr="00454FEF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454FEF">
                    <w:rPr>
                      <w:color w:val="4472C4" w:themeColor="accent5"/>
                      <w:sz w:val="24"/>
                      <w:szCs w:val="24"/>
                      <w:lang w:eastAsia="en-US"/>
                    </w:rPr>
                    <w:t xml:space="preserve">инспекция </w:t>
                  </w:r>
                  <w:r w:rsidRPr="00454FEF">
                    <w:rPr>
                      <w:color w:val="70AD47" w:themeColor="accent6"/>
                      <w:sz w:val="24"/>
                      <w:szCs w:val="24"/>
                      <w:lang w:eastAsia="en-US"/>
                    </w:rPr>
                    <w:t>труда</w:t>
                  </w:r>
                  <w:r w:rsidRPr="00454FEF">
                    <w:rPr>
                      <w:sz w:val="24"/>
                      <w:szCs w:val="24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46CC" w:rsidRPr="00454FEF" w:rsidRDefault="008346CC" w:rsidP="00D52BC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4FEF">
                    <w:rPr>
                      <w:b/>
                      <w:sz w:val="24"/>
                      <w:szCs w:val="24"/>
                    </w:rPr>
                    <w:t xml:space="preserve">КАЛУЖСКАЯ ОБЛАСТНАЯ ОРГАНИЗАЦИЯ </w:t>
                  </w:r>
                </w:p>
                <w:p w:rsidR="008346CC" w:rsidRPr="00454FEF" w:rsidRDefault="008346CC" w:rsidP="00D52BC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4FEF">
                    <w:rPr>
                      <w:b/>
                      <w:sz w:val="24"/>
                      <w:szCs w:val="24"/>
                    </w:rPr>
                    <w:t>ОБЩЕРОССИЙСКОГО ПРОФСОЮЗА ОБРАЗОВАНИЯ</w:t>
                  </w:r>
                </w:p>
                <w:p w:rsidR="008346CC" w:rsidRPr="00454FEF" w:rsidRDefault="008346CC" w:rsidP="00D52BC0">
                  <w:pPr>
                    <w:pStyle w:val="ConsPlusTitle"/>
                    <w:jc w:val="center"/>
                    <w:rPr>
                      <w:sz w:val="24"/>
                      <w:szCs w:val="24"/>
                    </w:rPr>
                  </w:pPr>
                </w:p>
                <w:p w:rsidR="008346CC" w:rsidRPr="00454FEF" w:rsidRDefault="008346CC" w:rsidP="00D52BC0">
                  <w:pPr>
                    <w:pStyle w:val="ConsPlusTitle"/>
                    <w:jc w:val="center"/>
                    <w:rPr>
                      <w:color w:val="222A35" w:themeColor="text2" w:themeShade="80"/>
                      <w:sz w:val="24"/>
                      <w:szCs w:val="24"/>
                      <w:lang w:eastAsia="en-US"/>
                    </w:rPr>
                  </w:pPr>
                  <w:hyperlink r:id="rId6" w:history="1">
                    <w:r w:rsidRPr="00454FEF">
                      <w:rPr>
                        <w:rStyle w:val="a3"/>
                        <w:color w:val="222A35" w:themeColor="text2" w:themeShade="80"/>
                        <w:sz w:val="24"/>
                        <w:szCs w:val="24"/>
                      </w:rPr>
                      <w:t>https://www.eseur.ru/kaluga/</w:t>
                    </w:r>
                  </w:hyperlink>
                </w:p>
                <w:p w:rsidR="008346CC" w:rsidRPr="00454FEF" w:rsidRDefault="008346CC" w:rsidP="00D52BC0">
                  <w:pPr>
                    <w:pStyle w:val="ConsPlusTitle"/>
                    <w:jc w:val="center"/>
                    <w:rPr>
                      <w:color w:val="222A35" w:themeColor="text2" w:themeShade="80"/>
                      <w:sz w:val="24"/>
                      <w:szCs w:val="24"/>
                      <w:lang w:eastAsia="en-US"/>
                    </w:rPr>
                  </w:pPr>
                </w:p>
                <w:p w:rsidR="008346CC" w:rsidRPr="00454FEF" w:rsidRDefault="008346CC" w:rsidP="00D52BC0">
                  <w:pPr>
                    <w:pStyle w:val="ConsPlusTitle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  <w:r w:rsidRPr="00454FEF">
                    <w:rPr>
                      <w:color w:val="FF0000"/>
                      <w:sz w:val="24"/>
                      <w:szCs w:val="24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24"/>
                      <w:szCs w:val="24"/>
                      <w:lang w:eastAsia="en-US"/>
                    </w:rPr>
                    <w:t xml:space="preserve"> 56</w:t>
                  </w:r>
                </w:p>
                <w:p w:rsidR="008346CC" w:rsidRPr="00454FEF" w:rsidRDefault="008346CC" w:rsidP="00D52BC0">
                  <w:pPr>
                    <w:pStyle w:val="ConsPlusTitle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FF0000"/>
                      <w:sz w:val="24"/>
                      <w:szCs w:val="24"/>
                      <w:lang w:eastAsia="en-US"/>
                    </w:rPr>
                    <w:t>Судебная практика по охране труда</w:t>
                  </w:r>
                </w:p>
                <w:p w:rsidR="008346CC" w:rsidRPr="0066681A" w:rsidRDefault="008346CC" w:rsidP="00D52BC0">
                  <w:pPr>
                    <w:tabs>
                      <w:tab w:val="left" w:pos="709"/>
                    </w:tabs>
                    <w:jc w:val="center"/>
                    <w:rPr>
                      <w:b/>
                      <w:bCs/>
                      <w:color w:val="ED7D31" w:themeColor="accent2"/>
                      <w:kern w:val="36"/>
                    </w:rPr>
                  </w:pPr>
                </w:p>
              </w:tc>
            </w:tr>
          </w:tbl>
          <w:p w:rsidR="008346CC" w:rsidRPr="00454FEF" w:rsidRDefault="008346CC" w:rsidP="00D52BC0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</w:p>
        </w:tc>
      </w:tr>
      <w:tr w:rsidR="008346CC" w:rsidRPr="00B54EC3" w:rsidTr="00D52BC0">
        <w:trPr>
          <w:trHeight w:val="495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CC" w:rsidRDefault="008346CC" w:rsidP="008346CC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  <w:sz w:val="23"/>
                <w:szCs w:val="23"/>
              </w:rPr>
            </w:pPr>
            <w:r>
              <w:rPr>
                <w:rStyle w:val="s10"/>
                <w:b/>
                <w:bCs/>
                <w:color w:val="232222"/>
                <w:sz w:val="23"/>
                <w:szCs w:val="23"/>
              </w:rPr>
              <w:t>При привлечении работника к ответственности за нарушение требований охраны труда необходимо тщательно изучать его должностную инструкцию</w:t>
            </w:r>
          </w:p>
          <w:p w:rsidR="008346CC" w:rsidRDefault="008346CC" w:rsidP="008346C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7" w:tgtFrame="_blank" w:history="1">
              <w:r>
                <w:rPr>
                  <w:rStyle w:val="a3"/>
                  <w:color w:val="3272C0"/>
                  <w:sz w:val="23"/>
                  <w:szCs w:val="23"/>
                </w:rPr>
                <w:t>Постановление Шестого КСОЮ от 25 сентября 2025 г. по делу N 7У-6325/2025</w:t>
              </w:r>
            </w:hyperlink>
          </w:p>
          <w:p w:rsidR="008346CC" w:rsidRDefault="008346CC" w:rsidP="008346C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Начальник </w:t>
            </w:r>
            <w:proofErr w:type="spellStart"/>
            <w:r>
              <w:rPr>
                <w:color w:val="22272F"/>
                <w:sz w:val="23"/>
                <w:szCs w:val="23"/>
              </w:rPr>
              <w:t>энергомеханического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отдела был осужден по </w:t>
            </w:r>
            <w:hyperlink r:id="rId8" w:anchor="/document/10108000/entry/21601" w:history="1">
              <w:r>
                <w:rPr>
                  <w:rStyle w:val="a3"/>
                  <w:color w:val="3272C0"/>
                  <w:sz w:val="23"/>
                  <w:szCs w:val="23"/>
                </w:rPr>
                <w:t>ч. 1 ст. 216</w:t>
              </w:r>
            </w:hyperlink>
            <w:r>
              <w:rPr>
                <w:color w:val="22272F"/>
                <w:sz w:val="23"/>
                <w:szCs w:val="23"/>
              </w:rPr>
              <w:t> УК РФ за нарушение правил безопасности при ведении работ, повлекшее по неосторожности тяжкий вред здоровью сотрудника.</w:t>
            </w:r>
            <w:r>
              <w:rPr>
                <w:color w:val="22272F"/>
                <w:sz w:val="23"/>
                <w:szCs w:val="23"/>
              </w:rPr>
              <w:t xml:space="preserve"> </w:t>
            </w:r>
            <w:r>
              <w:rPr>
                <w:color w:val="22272F"/>
                <w:sz w:val="23"/>
                <w:szCs w:val="23"/>
              </w:rPr>
              <w:t>Суд первой инстанции признал начальника отдела виновным, апелляционный суд оставил решение без изменений, однако кассационный суд отменил приговор и апелляционное постановление и прекратил уголовное дело за отсутствием состава преступления.</w:t>
            </w:r>
            <w:r>
              <w:rPr>
                <w:color w:val="22272F"/>
                <w:sz w:val="23"/>
                <w:szCs w:val="23"/>
              </w:rPr>
              <w:t xml:space="preserve"> </w:t>
            </w:r>
            <w:r>
              <w:rPr>
                <w:color w:val="22272F"/>
                <w:sz w:val="23"/>
                <w:szCs w:val="23"/>
              </w:rPr>
              <w:t xml:space="preserve">Было установлено, в частности, </w:t>
            </w:r>
            <w:proofErr w:type="spellStart"/>
            <w:r>
              <w:rPr>
                <w:color w:val="22272F"/>
                <w:sz w:val="23"/>
                <w:szCs w:val="23"/>
              </w:rPr>
              <w:t>что:осужденный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не обеспечивал доступа в цех и не был обязан проводить инструктаж, так как пострадавший не находился в его подчинении; суды нижестоящих инстанций неверно истолковали должностную инструкцию, так как она не предусматривала контроль за технологическим процессом в цехе, а касалась только обслуживания и ремонта </w:t>
            </w:r>
            <w:proofErr w:type="spellStart"/>
            <w:r>
              <w:rPr>
                <w:color w:val="22272F"/>
                <w:sz w:val="23"/>
                <w:szCs w:val="23"/>
              </w:rPr>
              <w:t>оборудования.Таким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образом, уголовная ответственность по </w:t>
            </w:r>
            <w:hyperlink r:id="rId9" w:anchor="/document/10108000/entry/216" w:history="1">
              <w:r>
                <w:rPr>
                  <w:rStyle w:val="a3"/>
                  <w:color w:val="3272C0"/>
                  <w:sz w:val="23"/>
                  <w:szCs w:val="23"/>
                </w:rPr>
                <w:t>ст. 216</w:t>
              </w:r>
            </w:hyperlink>
            <w:r>
              <w:rPr>
                <w:color w:val="22272F"/>
                <w:sz w:val="23"/>
                <w:szCs w:val="23"/>
              </w:rPr>
              <w:t> УК РФ возможна только при нарушении конкретных положений нормативных актов или должностных инструкций. Суд должен четко определить, входили ли в обязанности обвиняемого контроль за конкретным процессом или работниками, связанными с инцидентом. Общие нормы ТК РФ не могут служить основанием для обвинения.</w:t>
            </w:r>
          </w:p>
          <w:p w:rsidR="008346CC" w:rsidRDefault="008346CC" w:rsidP="008346CC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  <w:sz w:val="23"/>
                <w:szCs w:val="23"/>
              </w:rPr>
            </w:pPr>
            <w:r>
              <w:rPr>
                <w:rStyle w:val="s10"/>
                <w:b/>
                <w:bCs/>
                <w:color w:val="232222"/>
                <w:sz w:val="23"/>
                <w:szCs w:val="23"/>
              </w:rPr>
              <w:t>Работодатель отвечает за неверное проведение СОУТ даже при наличии аккредитации организации-исполнителя</w:t>
            </w:r>
          </w:p>
          <w:p w:rsidR="008346CC" w:rsidRDefault="008346CC" w:rsidP="008346C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10" w:tgtFrame="_blank" w:history="1">
              <w:r>
                <w:rPr>
                  <w:rStyle w:val="a3"/>
                  <w:color w:val="3272C0"/>
                  <w:sz w:val="23"/>
                  <w:szCs w:val="23"/>
                </w:rPr>
                <w:t>Апелляционное определение СК ГД ВС Республики Коми от 18 сентября 2025 г. по делу N 33-4719/2025</w:t>
              </w:r>
            </w:hyperlink>
          </w:p>
          <w:p w:rsidR="008346CC" w:rsidRDefault="008346CC" w:rsidP="008346C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Медсестра обратилась в суд с иском к работодателю, требуя предоставления дополнительного ежегодного оплачиваемого отпуска; компенсации морального вреда в размере 25 000 руб.; денежной компенсации за </w:t>
            </w:r>
            <w:proofErr w:type="spellStart"/>
            <w:r>
              <w:rPr>
                <w:color w:val="22272F"/>
                <w:sz w:val="23"/>
                <w:szCs w:val="23"/>
              </w:rPr>
              <w:t>невыданное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color w:val="22272F"/>
                <w:sz w:val="23"/>
                <w:szCs w:val="23"/>
              </w:rPr>
              <w:t>молоко.Суд</w:t>
            </w:r>
            <w:proofErr w:type="spellEnd"/>
            <w:proofErr w:type="gramEnd"/>
            <w:r>
              <w:rPr>
                <w:color w:val="22272F"/>
                <w:sz w:val="23"/>
                <w:szCs w:val="23"/>
              </w:rPr>
              <w:t xml:space="preserve"> удовлетворил иск частично: обязал работодателя предоставить дополнительный отпуск продолжительностью 36 календарных дней; взыскал 31 401 руб. компенсации за молоко и 20 000 руб. за моральный </w:t>
            </w:r>
            <w:proofErr w:type="spellStart"/>
            <w:r>
              <w:rPr>
                <w:color w:val="22272F"/>
                <w:sz w:val="23"/>
                <w:szCs w:val="23"/>
              </w:rPr>
              <w:t>вред.Суд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установил, что истец, не согласившись с результатами СОУТ, обратился в Минтруд за государственной экспертизой. Экспертиза подтвердила несоответствие </w:t>
            </w:r>
            <w:proofErr w:type="spellStart"/>
            <w:r>
              <w:rPr>
                <w:color w:val="22272F"/>
                <w:sz w:val="23"/>
                <w:szCs w:val="23"/>
              </w:rPr>
              <w:t>спецоценки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установленным требованиям. При этом работодатель сам рассчитал размеры </w:t>
            </w:r>
            <w:proofErr w:type="spellStart"/>
            <w:proofErr w:type="gramStart"/>
            <w:r>
              <w:rPr>
                <w:color w:val="22272F"/>
                <w:sz w:val="23"/>
                <w:szCs w:val="23"/>
              </w:rPr>
              <w:t>компенсаций.Суд</w:t>
            </w:r>
            <w:proofErr w:type="spellEnd"/>
            <w:proofErr w:type="gramEnd"/>
            <w:r>
              <w:rPr>
                <w:color w:val="22272F"/>
                <w:sz w:val="23"/>
                <w:szCs w:val="23"/>
              </w:rPr>
              <w:t xml:space="preserve"> первой инстанции принял эти расчеты и признал требования истца обоснованными, указав </w:t>
            </w:r>
            <w:proofErr w:type="spellStart"/>
            <w:r>
              <w:rPr>
                <w:color w:val="22272F"/>
                <w:sz w:val="23"/>
                <w:szCs w:val="23"/>
              </w:rPr>
              <w:t>следующее:работодатель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обязан надлежащим образом организовывать и финансировать СОУТ, а также соблюдать права работников; наличие лицензии и аккредитации у организации, проводившей СОУТ, не снимает ответственности с работодателя, поскольку закон возлагает на него обязанность по надлежащей организации </w:t>
            </w:r>
            <w:proofErr w:type="spellStart"/>
            <w:r>
              <w:rPr>
                <w:color w:val="22272F"/>
                <w:sz w:val="23"/>
                <w:szCs w:val="23"/>
              </w:rPr>
              <w:t>спецоценки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условий труда.</w:t>
            </w:r>
          </w:p>
          <w:p w:rsidR="008346CC" w:rsidRPr="008346CC" w:rsidRDefault="008346CC" w:rsidP="008346C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8346CC" w:rsidTr="00D52BC0">
        <w:trPr>
          <w:trHeight w:val="156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CC" w:rsidRDefault="008346CC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346CC" w:rsidRPr="00D52B05" w:rsidRDefault="008346CC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8346CC" w:rsidRPr="00D52B05" w:rsidRDefault="008346CC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8346CC" w:rsidRPr="00D52B05" w:rsidRDefault="008346CC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но</w:t>
            </w:r>
            <w:r>
              <w:rPr>
                <w:rFonts w:ascii="Arial" w:hAnsi="Arial" w:cs="Arial"/>
                <w:b/>
                <w:sz w:val="16"/>
                <w:szCs w:val="16"/>
              </w:rPr>
              <w:t>ябрь, 2025</w:t>
            </w:r>
          </w:p>
          <w:p w:rsidR="008346CC" w:rsidRDefault="008346CC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</w:pPr>
            <w:hyperlink r:id="rId11" w:history="1">
              <w:r w:rsidRPr="00D52B05">
                <w:rPr>
                  <w:rStyle w:val="a3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8346CC" w:rsidRDefault="008346CC" w:rsidP="008346CC"/>
    <w:p w:rsidR="008346CC" w:rsidRDefault="008346CC" w:rsidP="008346CC"/>
    <w:p w:rsidR="008346CC" w:rsidRDefault="008346CC" w:rsidP="008346CC"/>
    <w:p w:rsidR="008346CC" w:rsidRDefault="008346CC" w:rsidP="008346CC"/>
    <w:p w:rsidR="008346CC" w:rsidRDefault="008346CC" w:rsidP="008346CC"/>
    <w:p w:rsidR="008346CC" w:rsidRDefault="008346CC" w:rsidP="008346CC"/>
    <w:p w:rsidR="008346CC" w:rsidRDefault="008346CC" w:rsidP="008346CC"/>
    <w:p w:rsidR="008346CC" w:rsidRDefault="008346CC" w:rsidP="008346CC"/>
    <w:p w:rsidR="008346CC" w:rsidRDefault="008346CC" w:rsidP="008346CC"/>
    <w:p w:rsidR="008346CC" w:rsidRDefault="008346CC" w:rsidP="008346CC"/>
    <w:p w:rsidR="001339BF" w:rsidRDefault="008346CC"/>
    <w:sectPr w:rsidR="001339BF" w:rsidSect="008346C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CC"/>
    <w:rsid w:val="001545F9"/>
    <w:rsid w:val="008346CC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2772"/>
  <w15:chartTrackingRefBased/>
  <w15:docId w15:val="{E1098882-06F3-48B9-AE51-FFF22D13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C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6CC"/>
    <w:rPr>
      <w:color w:val="0563C1" w:themeColor="hyperlink"/>
      <w:u w:val="single"/>
    </w:rPr>
  </w:style>
  <w:style w:type="paragraph" w:customStyle="1" w:styleId="s1">
    <w:name w:val="s_1"/>
    <w:basedOn w:val="a"/>
    <w:rsid w:val="008346C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46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346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83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74">
    <w:name w:val="s_74"/>
    <w:basedOn w:val="a"/>
    <w:rsid w:val="008346C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834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services/arbitr/link/34753921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internet.garant.ru/services/arbitr/link/34748160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2025-11-14T06:49:00Z</dcterms:created>
  <dcterms:modified xsi:type="dcterms:W3CDTF">2025-11-14T06:54:00Z</dcterms:modified>
</cp:coreProperties>
</file>