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8B" w:rsidRPr="0055379B" w:rsidRDefault="00183D8B" w:rsidP="0055379B">
      <w:pPr>
        <w:rPr>
          <w:sz w:val="32"/>
          <w:szCs w:val="32"/>
          <w:lang w:val="en-US"/>
        </w:rPr>
      </w:pPr>
    </w:p>
    <w:p w:rsidR="001043B3" w:rsidRPr="001043B3" w:rsidRDefault="001043B3" w:rsidP="001E3E13">
      <w:pPr>
        <w:jc w:val="center"/>
        <w:rPr>
          <w:sz w:val="28"/>
          <w:szCs w:val="28"/>
        </w:rPr>
      </w:pPr>
      <w:r w:rsidRPr="001043B3">
        <w:rPr>
          <w:b/>
          <w:i/>
          <w:sz w:val="28"/>
          <w:szCs w:val="28"/>
        </w:rPr>
        <w:t>Эффективное управление накопительной частью трудовой пенсии</w:t>
      </w:r>
    </w:p>
    <w:p w:rsidR="00CA31BD" w:rsidRDefault="00F22F86" w:rsidP="00CA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2F86">
        <w:rPr>
          <w:rFonts w:ascii="Times New Roman" w:hAnsi="Times New Roman" w:cs="Times New Roman"/>
          <w:sz w:val="28"/>
          <w:szCs w:val="28"/>
        </w:rPr>
        <w:t>Почему россияне не выходят на пенсию по насту</w:t>
      </w:r>
      <w:r>
        <w:rPr>
          <w:rFonts w:ascii="Times New Roman" w:hAnsi="Times New Roman" w:cs="Times New Roman"/>
          <w:sz w:val="28"/>
          <w:szCs w:val="28"/>
        </w:rPr>
        <w:t>плению пенсионного возраста?  Л</w:t>
      </w:r>
      <w:r w:rsidRPr="00F22F86">
        <w:rPr>
          <w:rFonts w:ascii="Times New Roman" w:hAnsi="Times New Roman" w:cs="Times New Roman"/>
          <w:sz w:val="28"/>
          <w:szCs w:val="28"/>
        </w:rPr>
        <w:t>юбят свою работу или не хотят выпада</w:t>
      </w:r>
      <w:r>
        <w:rPr>
          <w:rFonts w:ascii="Times New Roman" w:hAnsi="Times New Roman" w:cs="Times New Roman"/>
          <w:sz w:val="28"/>
          <w:szCs w:val="28"/>
        </w:rPr>
        <w:t>ть из активной социальной жизни?  П</w:t>
      </w:r>
      <w:r w:rsidRPr="00F22F86">
        <w:rPr>
          <w:rFonts w:ascii="Times New Roman" w:hAnsi="Times New Roman" w:cs="Times New Roman"/>
          <w:sz w:val="28"/>
          <w:szCs w:val="28"/>
        </w:rPr>
        <w:t xml:space="preserve">омимо простого нежелания быть «вычеркнутым» из жизни, непонимания, чем заняться на пенсии и т.п. есть чисто экономические причины.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3B3" w:rsidRPr="00104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выхода на пенсию для человека связана, прежде всего, с низким уровнем замещения утерянного заработка. В результате уровень доходов падает в 3 – 4 раза. </w:t>
      </w:r>
      <w:r w:rsidRPr="00F22F86">
        <w:rPr>
          <w:rFonts w:ascii="Times New Roman" w:hAnsi="Times New Roman" w:cs="Times New Roman"/>
          <w:sz w:val="28"/>
          <w:szCs w:val="28"/>
        </w:rPr>
        <w:t>Можно ли увеличить своё пенсионное обеспечение?</w:t>
      </w:r>
    </w:p>
    <w:p w:rsidR="00CB5BE2" w:rsidRDefault="00AB5C6E" w:rsidP="00CA3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A31BD">
        <w:rPr>
          <w:rFonts w:ascii="Times New Roman" w:hAnsi="Times New Roman" w:cs="Times New Roman"/>
          <w:sz w:val="28"/>
          <w:szCs w:val="28"/>
        </w:rPr>
        <w:t>Ежемесячно, выплачивая заработную плату, работодатель в установленном законом порядке отчисляет государству страховой взнос в размере 22 % сверх суммы</w:t>
      </w:r>
      <w:r w:rsidRPr="00AB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заработной платы. 16 % из них расходуется на выплаты текущих пенсий и учитывается в виде обязательств государства по выплате страховой части будущей пенсии работника, за которого вносятся взносы. </w:t>
      </w:r>
      <w:r w:rsidRPr="00AB5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Остальные 6 % </w:t>
      </w:r>
      <w:r w:rsidR="009F085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="009F085A" w:rsidRPr="009F0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2002 </w:t>
      </w:r>
      <w:r w:rsidR="009F0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2013 годы поступали</w:t>
      </w:r>
      <w:r w:rsidRPr="00AB5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формирование накопи</w:t>
      </w:r>
      <w:r w:rsidR="00CA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тельной части пенсии.</w:t>
      </w:r>
    </w:p>
    <w:p w:rsidR="00CB5BE2" w:rsidRPr="00CB5BE2" w:rsidRDefault="00CB5BE2" w:rsidP="00CA3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Накопительная часть</w:t>
      </w:r>
      <w:r w:rsidRPr="00CB5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та часть, которой Вы, в отличие от страховой части, имеете право</w:t>
      </w:r>
      <w:r w:rsidR="009F0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распоряжаться самостоятельно. </w:t>
      </w:r>
    </w:p>
    <w:p w:rsidR="009F085A" w:rsidRDefault="007541D1" w:rsidP="00CA31BD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CA31BD">
        <w:rPr>
          <w:rFonts w:ascii="Times New Roman" w:hAnsi="Times New Roman"/>
          <w:sz w:val="28"/>
          <w:szCs w:val="28"/>
        </w:rPr>
        <w:t xml:space="preserve">Государство предлагает каждому гражданину самостоятельно решить, где хранить и приумножать вторую часть своей </w:t>
      </w:r>
      <w:r w:rsidR="009F085A" w:rsidRPr="00CA31BD">
        <w:rPr>
          <w:rFonts w:ascii="Times New Roman" w:hAnsi="Times New Roman"/>
          <w:sz w:val="28"/>
          <w:szCs w:val="28"/>
        </w:rPr>
        <w:t xml:space="preserve">будущей пенсии, для этого </w:t>
      </w:r>
      <w:r w:rsidRPr="00CA31BD">
        <w:rPr>
          <w:rFonts w:ascii="Times New Roman" w:hAnsi="Times New Roman"/>
          <w:sz w:val="28"/>
          <w:szCs w:val="28"/>
        </w:rPr>
        <w:t xml:space="preserve"> государством, созданы компании-партнеры, именуемые негосударственными пенсионными фондами.  Фонды эти на паритетных началах с государством управляют накопительной частью пенсии и дают доход в разы больше, чем государственная управляющая компания. И дело не в том, что они такие «крутые и хорошие фонды», а в том, что у них больше разрешенных механизмов управления пенсионными накоплени</w:t>
      </w:r>
      <w:r w:rsidR="009F085A" w:rsidRPr="00CA31BD">
        <w:rPr>
          <w:rFonts w:ascii="Times New Roman" w:hAnsi="Times New Roman"/>
          <w:sz w:val="28"/>
          <w:szCs w:val="28"/>
        </w:rPr>
        <w:t>ями.</w:t>
      </w:r>
    </w:p>
    <w:p w:rsidR="008E0D8C" w:rsidRPr="00CA31BD" w:rsidRDefault="009F085A" w:rsidP="00CA31BD">
      <w:pPr>
        <w:pStyle w:val="a3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31BD">
        <w:rPr>
          <w:rFonts w:ascii="Times New Roman" w:eastAsiaTheme="minorHAnsi" w:hAnsi="Times New Roman"/>
          <w:sz w:val="28"/>
          <w:szCs w:val="28"/>
          <w:lang w:eastAsia="en-US"/>
        </w:rPr>
        <w:t xml:space="preserve">С 2014г. – 2019г. </w:t>
      </w:r>
      <w:r w:rsidR="006759CE" w:rsidRPr="00CA31BD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CA31BD">
        <w:rPr>
          <w:rFonts w:ascii="Times New Roman" w:eastAsiaTheme="minorHAnsi" w:hAnsi="Times New Roman"/>
          <w:sz w:val="28"/>
          <w:szCs w:val="28"/>
          <w:lang w:eastAsia="en-US"/>
        </w:rPr>
        <w:t>траховые взносы работодателя на накопительную часть</w:t>
      </w:r>
      <w:r w:rsidR="0073194F" w:rsidRPr="00CA31BD">
        <w:rPr>
          <w:rFonts w:ascii="Times New Roman" w:eastAsiaTheme="minorHAnsi" w:hAnsi="Times New Roman"/>
          <w:sz w:val="28"/>
          <w:szCs w:val="28"/>
          <w:lang w:eastAsia="en-US"/>
        </w:rPr>
        <w:t xml:space="preserve"> не производятся. Но те денежные средства, к</w:t>
      </w:r>
      <w:r w:rsidR="00364D80">
        <w:rPr>
          <w:rFonts w:ascii="Times New Roman" w:eastAsiaTheme="minorHAnsi" w:hAnsi="Times New Roman"/>
          <w:sz w:val="28"/>
          <w:szCs w:val="28"/>
          <w:lang w:eastAsia="en-US"/>
        </w:rPr>
        <w:t>оторые аккумулировались</w:t>
      </w:r>
      <w:bookmarkStart w:id="0" w:name="_GoBack"/>
      <w:bookmarkEnd w:id="0"/>
      <w:r w:rsidR="0073194F" w:rsidRPr="00CA31B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759CE" w:rsidRPr="00CA31B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3194F" w:rsidRPr="00CA31BD">
        <w:rPr>
          <w:rFonts w:ascii="Times New Roman" w:eastAsiaTheme="minorHAnsi" w:hAnsi="Times New Roman"/>
          <w:sz w:val="28"/>
          <w:szCs w:val="28"/>
          <w:lang w:eastAsia="en-US"/>
        </w:rPr>
        <w:t>на накопительной части Вашей пенсии с 2002</w:t>
      </w:r>
      <w:r w:rsidR="00385073" w:rsidRPr="00CA31BD">
        <w:rPr>
          <w:rFonts w:ascii="Times New Roman" w:eastAsiaTheme="minorHAnsi" w:hAnsi="Times New Roman"/>
          <w:sz w:val="28"/>
          <w:szCs w:val="28"/>
          <w:lang w:eastAsia="en-US"/>
        </w:rPr>
        <w:t>г. по 2013г.</w:t>
      </w:r>
      <w:r w:rsidR="0073194F" w:rsidRPr="00CA31BD">
        <w:rPr>
          <w:rFonts w:ascii="Times New Roman" w:eastAsiaTheme="minorHAnsi" w:hAnsi="Times New Roman"/>
          <w:sz w:val="28"/>
          <w:szCs w:val="28"/>
          <w:lang w:eastAsia="en-US"/>
        </w:rPr>
        <w:t xml:space="preserve"> можно сохранить и защитить от инфляции, а в дальнейшем преумножить </w:t>
      </w:r>
      <w:r w:rsidR="00385073" w:rsidRPr="00CA31BD">
        <w:rPr>
          <w:rFonts w:ascii="Times New Roman" w:eastAsiaTheme="minorHAnsi" w:hAnsi="Times New Roman"/>
          <w:sz w:val="28"/>
          <w:szCs w:val="28"/>
          <w:lang w:eastAsia="en-US"/>
        </w:rPr>
        <w:t xml:space="preserve">за </w:t>
      </w:r>
      <w:r w:rsidR="0073194F" w:rsidRPr="00CA31BD">
        <w:rPr>
          <w:rFonts w:ascii="Times New Roman" w:eastAsiaTheme="minorHAnsi" w:hAnsi="Times New Roman"/>
          <w:sz w:val="28"/>
          <w:szCs w:val="28"/>
          <w:lang w:eastAsia="en-US"/>
        </w:rPr>
        <w:t>счёт инвестирования, если</w:t>
      </w:r>
      <w:r w:rsidR="008E0D8C" w:rsidRPr="00CA31B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3194F" w:rsidRPr="00CA31BD">
        <w:rPr>
          <w:rFonts w:ascii="Times New Roman" w:eastAsiaTheme="minorHAnsi" w:hAnsi="Times New Roman"/>
          <w:sz w:val="28"/>
          <w:szCs w:val="28"/>
          <w:lang w:eastAsia="en-US"/>
        </w:rPr>
        <w:t xml:space="preserve"> переведёте</w:t>
      </w:r>
      <w:r w:rsidR="003C170B" w:rsidRPr="00CA31BD">
        <w:rPr>
          <w:rFonts w:ascii="Times New Roman" w:eastAsiaTheme="minorHAnsi" w:hAnsi="Times New Roman"/>
          <w:sz w:val="28"/>
          <w:szCs w:val="28"/>
          <w:lang w:eastAsia="en-US"/>
        </w:rPr>
        <w:t xml:space="preserve">  накопительную часть Вашей пенсии в Негосударственный пенсионный фонд</w:t>
      </w:r>
      <w:r w:rsidR="0073194F" w:rsidRPr="00CA31BD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5B3B26" w:rsidRPr="00CA31BD" w:rsidRDefault="006759CE" w:rsidP="00CA31BD">
      <w:pPr>
        <w:pStyle w:val="a3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31BD">
        <w:rPr>
          <w:rFonts w:ascii="Times New Roman" w:eastAsiaTheme="minorHAnsi" w:hAnsi="Times New Roman"/>
          <w:sz w:val="28"/>
          <w:szCs w:val="28"/>
          <w:lang w:eastAsia="en-US"/>
        </w:rPr>
        <w:t>В 1994 году Профсоюзом работников народного образования и науки РФ при поддержке Министерства образования РФ был создан</w:t>
      </w:r>
      <w:r w:rsidR="005B3B26" w:rsidRPr="00CA31BD">
        <w:rPr>
          <w:rFonts w:ascii="Times New Roman" w:eastAsiaTheme="minorHAnsi" w:hAnsi="Times New Roman"/>
          <w:sz w:val="28"/>
          <w:szCs w:val="28"/>
          <w:lang w:eastAsia="en-US"/>
        </w:rPr>
        <w:t xml:space="preserve"> «Негосударственный Пенсионный Фонд </w:t>
      </w:r>
      <w:r w:rsidRPr="00CA31BD">
        <w:rPr>
          <w:rFonts w:ascii="Times New Roman" w:eastAsiaTheme="minorHAnsi" w:hAnsi="Times New Roman"/>
          <w:sz w:val="28"/>
          <w:szCs w:val="28"/>
          <w:lang w:eastAsia="en-US"/>
        </w:rPr>
        <w:t>«Образование и наука».  Цель -</w:t>
      </w:r>
      <w:r w:rsidR="005B3B26" w:rsidRPr="00CA31BD">
        <w:rPr>
          <w:rFonts w:ascii="Times New Roman" w:eastAsiaTheme="minorHAnsi" w:hAnsi="Times New Roman"/>
          <w:sz w:val="28"/>
          <w:szCs w:val="28"/>
          <w:lang w:eastAsia="en-US"/>
        </w:rPr>
        <w:t xml:space="preserve"> решение социальных задач работников отрасли</w:t>
      </w:r>
      <w:r w:rsidR="007541D1" w:rsidRPr="00CA31BD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47C3D" w:rsidRDefault="00A47C3D" w:rsidP="00CA31BD">
      <w:pPr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CA31BD">
        <w:rPr>
          <w:rFonts w:ascii="Times New Roman" w:hAnsi="Times New Roman" w:cs="Times New Roman"/>
          <w:sz w:val="28"/>
          <w:szCs w:val="28"/>
        </w:rPr>
        <w:t>АО «НПФ «Образование и наука» стал участником системы гарантирования прав застрахованных лиц в декабр</w:t>
      </w:r>
      <w:r w:rsidR="006759CE" w:rsidRPr="00CA31BD">
        <w:rPr>
          <w:rFonts w:ascii="Times New Roman" w:hAnsi="Times New Roman" w:cs="Times New Roman"/>
          <w:sz w:val="28"/>
          <w:szCs w:val="28"/>
        </w:rPr>
        <w:t>е 2015 года</w:t>
      </w:r>
      <w:r w:rsidR="006759CE">
        <w:rPr>
          <w:rFonts w:ascii="Times New Roman" w:hAnsi="Times New Roman"/>
          <w:bCs/>
          <w:iCs/>
          <w:sz w:val="28"/>
          <w:szCs w:val="28"/>
        </w:rPr>
        <w:t>.</w:t>
      </w:r>
      <w:r w:rsidR="00CA31BD" w:rsidRPr="00CA31B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15B3D">
        <w:rPr>
          <w:rFonts w:ascii="Times New Roman" w:hAnsi="Times New Roman"/>
          <w:bCs/>
          <w:iCs/>
          <w:sz w:val="28"/>
          <w:szCs w:val="28"/>
        </w:rPr>
        <w:t>З</w:t>
      </w:r>
      <w:r w:rsidRPr="00A47C3D">
        <w:rPr>
          <w:rFonts w:ascii="Times New Roman" w:hAnsi="Times New Roman"/>
          <w:bCs/>
          <w:iCs/>
          <w:sz w:val="28"/>
          <w:szCs w:val="28"/>
        </w:rPr>
        <w:t xml:space="preserve">а 2015 год АО «НПФ «Образование и наука» показал самую высокую доходность среди </w:t>
      </w:r>
      <w:r w:rsidRPr="00A47C3D">
        <w:rPr>
          <w:rFonts w:ascii="Times New Roman" w:hAnsi="Times New Roman"/>
          <w:bCs/>
          <w:iCs/>
          <w:sz w:val="28"/>
          <w:szCs w:val="28"/>
        </w:rPr>
        <w:lastRenderedPageBreak/>
        <w:t>негосударственных пенсионных фондов, которые вошли в государственную систему гарантирования прав застрахованных лиц.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D02ED9" w:rsidRPr="00CA31BD" w:rsidRDefault="00D02ED9" w:rsidP="00CA31BD">
      <w:pPr>
        <w:pStyle w:val="a3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31BD">
        <w:rPr>
          <w:rFonts w:ascii="Times New Roman" w:eastAsiaTheme="minorHAnsi" w:hAnsi="Times New Roman"/>
          <w:sz w:val="28"/>
          <w:szCs w:val="28"/>
          <w:lang w:eastAsia="en-US"/>
        </w:rPr>
        <w:t>В сентябре 2016 года ведущие российские негосударственные пенсионные фонды, обладающие более чем 20-летним опытом работы в пенсионной отрасли страны -  НПФ «Образование и наука», «Европейский пенсионный фонд», «РЕГИОНФОНД»  присоединились  к НПФ «САФМАР».</w:t>
      </w:r>
    </w:p>
    <w:p w:rsidR="00D02ED9" w:rsidRPr="00CA31BD" w:rsidRDefault="00D02ED9" w:rsidP="00CA31BD">
      <w:pPr>
        <w:pStyle w:val="a3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31BD">
        <w:rPr>
          <w:rFonts w:ascii="Times New Roman" w:eastAsiaTheme="minorHAnsi" w:hAnsi="Times New Roman"/>
          <w:sz w:val="28"/>
          <w:szCs w:val="28"/>
          <w:lang w:eastAsia="en-US"/>
        </w:rPr>
        <w:t xml:space="preserve">АО НПФ «САФМАР»  имеет </w:t>
      </w:r>
      <w:hyperlink r:id="rId5" w:history="1">
        <w:r w:rsidRPr="00CA31BD">
          <w:rPr>
            <w:rFonts w:ascii="Times New Roman" w:eastAsiaTheme="minorHAnsi" w:hAnsi="Times New Roman"/>
            <w:sz w:val="28"/>
            <w:szCs w:val="28"/>
            <w:lang w:eastAsia="en-US"/>
          </w:rPr>
          <w:t>лицензию на осуществление деятельности по обязательному пенсионному страхованию</w:t>
        </w:r>
      </w:hyperlink>
      <w:r w:rsidRPr="00CA31BD">
        <w:rPr>
          <w:rFonts w:ascii="Times New Roman" w:eastAsiaTheme="minorHAnsi" w:hAnsi="Times New Roman"/>
          <w:sz w:val="28"/>
          <w:szCs w:val="28"/>
          <w:lang w:eastAsia="en-US"/>
        </w:rPr>
        <w:t xml:space="preserve"> и является участником системы гарантирования прав застрахованных лиц.  Входит в финансовую Группу «САФМАР»,  одну из крупнейших финансовых групп в России, включающую банковские активы, страхование, лизинг, НПФ, а также нефинансовые активы. АО НПФ «САФМАР» обладает наивысшим рейтингом надежности</w:t>
      </w:r>
      <w:proofErr w:type="gramStart"/>
      <w:r w:rsidRPr="00CA31BD">
        <w:rPr>
          <w:rFonts w:ascii="Times New Roman" w:eastAsiaTheme="minorHAnsi" w:hAnsi="Times New Roman"/>
          <w:sz w:val="28"/>
          <w:szCs w:val="28"/>
          <w:lang w:eastAsia="en-US"/>
        </w:rPr>
        <w:t xml:space="preserve"> А</w:t>
      </w:r>
      <w:proofErr w:type="gramEnd"/>
      <w:r w:rsidRPr="00CA31BD">
        <w:rPr>
          <w:rFonts w:ascii="Times New Roman" w:eastAsiaTheme="minorHAnsi" w:hAnsi="Times New Roman"/>
          <w:sz w:val="28"/>
          <w:szCs w:val="28"/>
          <w:lang w:eastAsia="en-US"/>
        </w:rPr>
        <w:t>++ ведущего рейтингового агентства России «Эксперт РА» (RAEX).</w:t>
      </w:r>
    </w:p>
    <w:p w:rsidR="00D02ED9" w:rsidRPr="00CA31BD" w:rsidRDefault="00D02ED9" w:rsidP="005A5769">
      <w:pPr>
        <w:pStyle w:val="a3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31BD">
        <w:rPr>
          <w:rFonts w:ascii="Times New Roman" w:eastAsiaTheme="minorHAnsi" w:hAnsi="Times New Roman"/>
          <w:sz w:val="28"/>
          <w:szCs w:val="28"/>
          <w:lang w:eastAsia="en-US"/>
        </w:rPr>
        <w:t xml:space="preserve">2,3 </w:t>
      </w:r>
      <w:proofErr w:type="gramStart"/>
      <w:r w:rsidRPr="00CA31BD">
        <w:rPr>
          <w:rFonts w:ascii="Times New Roman" w:eastAsiaTheme="minorHAnsi" w:hAnsi="Times New Roman"/>
          <w:sz w:val="28"/>
          <w:szCs w:val="28"/>
          <w:lang w:eastAsia="en-US"/>
        </w:rPr>
        <w:t>млн</w:t>
      </w:r>
      <w:proofErr w:type="gramEnd"/>
      <w:r w:rsidRPr="00CA31BD">
        <w:rPr>
          <w:rFonts w:ascii="Times New Roman" w:eastAsiaTheme="minorHAnsi" w:hAnsi="Times New Roman"/>
          <w:sz w:val="28"/>
          <w:szCs w:val="28"/>
          <w:lang w:eastAsia="en-US"/>
        </w:rPr>
        <w:t xml:space="preserve"> человек выбрали АО НПФ «САФМАР» в качестве страховщика и передали свои пенсионные накопления для инвестирования и последующей выплаты.</w:t>
      </w:r>
    </w:p>
    <w:p w:rsidR="00CB5BE2" w:rsidRPr="00D02ED9" w:rsidRDefault="0041104D" w:rsidP="005A5769">
      <w:pPr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02ED9">
        <w:rPr>
          <w:rFonts w:ascii="Times New Roman" w:hAnsi="Times New Roman"/>
          <w:bCs/>
          <w:iCs/>
          <w:sz w:val="28"/>
          <w:szCs w:val="28"/>
        </w:rPr>
        <w:t xml:space="preserve">Накопленный доход, начисленный на счета застрахованных лиц за 2005-2015гг.,  составил 101,83%.  </w:t>
      </w:r>
    </w:p>
    <w:p w:rsidR="005541BA" w:rsidRPr="00F22F86" w:rsidRDefault="00A47C3D" w:rsidP="0044172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C3D">
        <w:rPr>
          <w:rFonts w:ascii="Times New Roman" w:hAnsi="Times New Roman"/>
          <w:bCs/>
          <w:iCs/>
          <w:sz w:val="28"/>
          <w:szCs w:val="28"/>
        </w:rPr>
        <w:t>Реорганизация фондов, в том числе и АО «НПФ «Обра</w:t>
      </w:r>
      <w:r>
        <w:rPr>
          <w:rFonts w:ascii="Times New Roman" w:hAnsi="Times New Roman"/>
          <w:bCs/>
          <w:iCs/>
          <w:sz w:val="28"/>
          <w:szCs w:val="28"/>
        </w:rPr>
        <w:t>зование и наука», осуществлено</w:t>
      </w:r>
      <w:r w:rsidRPr="00A47C3D">
        <w:rPr>
          <w:rFonts w:ascii="Times New Roman" w:hAnsi="Times New Roman"/>
          <w:bCs/>
          <w:iCs/>
          <w:sz w:val="28"/>
          <w:szCs w:val="28"/>
        </w:rPr>
        <w:t xml:space="preserve"> в интересах клиентов с целью повышения эффективности управления пенсионными средствами и уровня клиентского обслуживания. Объединение фондов даст эффект усиления контроля над рисками, операционными процессами и расходами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="00376DB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76DB9" w:rsidRPr="00376DB9">
        <w:rPr>
          <w:rFonts w:ascii="Times New Roman" w:hAnsi="Times New Roman"/>
          <w:bCs/>
          <w:iCs/>
          <w:sz w:val="28"/>
          <w:szCs w:val="28"/>
        </w:rPr>
        <w:t>После объединения</w:t>
      </w:r>
      <w:r w:rsidR="0055379B">
        <w:rPr>
          <w:rFonts w:ascii="Times New Roman" w:hAnsi="Times New Roman"/>
          <w:bCs/>
          <w:iCs/>
          <w:sz w:val="28"/>
          <w:szCs w:val="28"/>
        </w:rPr>
        <w:t>,</w:t>
      </w:r>
      <w:r w:rsidR="00376DB9" w:rsidRPr="00376DB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5379B">
        <w:rPr>
          <w:rFonts w:ascii="Times New Roman" w:hAnsi="Times New Roman"/>
          <w:bCs/>
          <w:iCs/>
          <w:sz w:val="28"/>
          <w:szCs w:val="28"/>
        </w:rPr>
        <w:t>НПФ «Образование и наука»</w:t>
      </w:r>
      <w:r w:rsidR="00376DB9">
        <w:rPr>
          <w:rFonts w:ascii="Times New Roman" w:hAnsi="Times New Roman"/>
          <w:bCs/>
          <w:iCs/>
          <w:sz w:val="28"/>
          <w:szCs w:val="28"/>
        </w:rPr>
        <w:t xml:space="preserve"> находит</w:t>
      </w:r>
      <w:r w:rsidR="00376DB9" w:rsidRPr="00376DB9">
        <w:rPr>
          <w:rFonts w:ascii="Times New Roman" w:hAnsi="Times New Roman"/>
          <w:bCs/>
          <w:iCs/>
          <w:sz w:val="28"/>
          <w:szCs w:val="28"/>
        </w:rPr>
        <w:t xml:space="preserve">ся в статусе Филиала </w:t>
      </w:r>
      <w:r w:rsidR="00376DB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76DB9" w:rsidRPr="00376DB9">
        <w:rPr>
          <w:rFonts w:ascii="Times New Roman" w:hAnsi="Times New Roman"/>
          <w:bCs/>
          <w:iCs/>
          <w:sz w:val="28"/>
          <w:szCs w:val="28"/>
        </w:rPr>
        <w:t>АО НПФ «САФМАР»</w:t>
      </w:r>
      <w:r w:rsidR="0055379B">
        <w:rPr>
          <w:rFonts w:ascii="Times New Roman" w:hAnsi="Times New Roman"/>
          <w:bCs/>
          <w:iCs/>
          <w:sz w:val="28"/>
          <w:szCs w:val="28"/>
        </w:rPr>
        <w:t>,</w:t>
      </w:r>
      <w:r w:rsidR="00376DB9" w:rsidRPr="00376DB9">
        <w:rPr>
          <w:rFonts w:ascii="Times New Roman" w:hAnsi="Times New Roman"/>
          <w:bCs/>
          <w:iCs/>
          <w:sz w:val="28"/>
          <w:szCs w:val="28"/>
        </w:rPr>
        <w:t xml:space="preserve"> сохраняет традицию взаимодействия с Общероссийским Профсоюзом образования и свою отраслевую составляющую.</w:t>
      </w:r>
      <w:r w:rsidR="003A67A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B3B26" w:rsidRPr="005A5769">
        <w:rPr>
          <w:rFonts w:ascii="Times New Roman" w:hAnsi="Times New Roman" w:cs="Times New Roman"/>
          <w:b/>
          <w:bCs/>
          <w:sz w:val="28"/>
          <w:szCs w:val="28"/>
        </w:rPr>
        <w:t>Отраслевой фонд Филиал «Образование и наука» продолжает оказывать услуги в области ОПС работникам сферы образования и физическим лицам.</w:t>
      </w:r>
    </w:p>
    <w:p w:rsidR="00AB5C6E" w:rsidRPr="005541BA" w:rsidRDefault="00AB5C6E" w:rsidP="00AB5C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6E" w:rsidRPr="00AB5C6E" w:rsidRDefault="00AB5C6E" w:rsidP="00AB5C6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3B3" w:rsidRPr="001043B3" w:rsidRDefault="001043B3" w:rsidP="00AB5C6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E13" w:rsidRPr="001043B3" w:rsidRDefault="001E3E13" w:rsidP="001E3E13">
      <w:pPr>
        <w:jc w:val="center"/>
        <w:rPr>
          <w:sz w:val="28"/>
          <w:szCs w:val="28"/>
        </w:rPr>
      </w:pPr>
    </w:p>
    <w:sectPr w:rsidR="001E3E13" w:rsidRPr="0010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13"/>
    <w:rsid w:val="001043B3"/>
    <w:rsid w:val="00123398"/>
    <w:rsid w:val="00183D8B"/>
    <w:rsid w:val="001E3E13"/>
    <w:rsid w:val="00321133"/>
    <w:rsid w:val="00332816"/>
    <w:rsid w:val="00364D80"/>
    <w:rsid w:val="00376DB9"/>
    <w:rsid w:val="00385073"/>
    <w:rsid w:val="003A67A8"/>
    <w:rsid w:val="003C170B"/>
    <w:rsid w:val="0041104D"/>
    <w:rsid w:val="0044172E"/>
    <w:rsid w:val="0055379B"/>
    <w:rsid w:val="005541BA"/>
    <w:rsid w:val="005A5769"/>
    <w:rsid w:val="005B3B26"/>
    <w:rsid w:val="006759CE"/>
    <w:rsid w:val="00711C7C"/>
    <w:rsid w:val="0073194F"/>
    <w:rsid w:val="007541D1"/>
    <w:rsid w:val="008E0D8C"/>
    <w:rsid w:val="009F085A"/>
    <w:rsid w:val="00A306F3"/>
    <w:rsid w:val="00A47C3D"/>
    <w:rsid w:val="00AB5C6E"/>
    <w:rsid w:val="00C15B3D"/>
    <w:rsid w:val="00CA31BD"/>
    <w:rsid w:val="00CB5BE2"/>
    <w:rsid w:val="00D02ED9"/>
    <w:rsid w:val="00F2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3B26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rsid w:val="005B3B26"/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5B3B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3B26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rsid w:val="005B3B26"/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5B3B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pfsafmar.ru/docs/Licenzija_Banka_Rossii_ot_16.04.200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NPF SAFMAR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Богомолова Лариса Юрьевна</dc:creator>
  <cp:lastModifiedBy>Богомолова Лариса Юрьевна</cp:lastModifiedBy>
  <cp:revision>18</cp:revision>
  <cp:lastPrinted>2017-04-06T09:23:00Z</cp:lastPrinted>
  <dcterms:created xsi:type="dcterms:W3CDTF">2017-03-24T10:00:00Z</dcterms:created>
  <dcterms:modified xsi:type="dcterms:W3CDTF">2017-04-06T09:28:00Z</dcterms:modified>
</cp:coreProperties>
</file>