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8D" w:rsidRPr="008B1B8D" w:rsidRDefault="008B1B8D" w:rsidP="008B1B8D">
      <w:pPr>
        <w:spacing w:after="0" w:line="397" w:lineRule="atLeast"/>
        <w:jc w:val="center"/>
        <w:outlineLvl w:val="0"/>
        <w:rPr>
          <w:rFonts w:ascii="Arial" w:eastAsia="Times New Roman" w:hAnsi="Arial" w:cs="Arial"/>
          <w:b/>
          <w:bCs/>
          <w:color w:val="7D8C16"/>
          <w:kern w:val="36"/>
          <w:sz w:val="36"/>
          <w:szCs w:val="36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51280C"/>
          <w:kern w:val="36"/>
          <w:sz w:val="36"/>
          <w:szCs w:val="36"/>
          <w:lang w:eastAsia="ru-RU"/>
        </w:rPr>
        <w:t>ПОЛЕЗНАЯ ИНФОРМАЦИЯ</w:t>
      </w:r>
    </w:p>
    <w:p w:rsidR="008B1B8D" w:rsidRPr="008B1B8D" w:rsidRDefault="008B1B8D" w:rsidP="008B1B8D">
      <w:pPr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МЕТОДИЧЕСКИЕ РЕКОМЕНДАЦИИ МИНЗДРАВА ТУВЫ</w:t>
      </w:r>
    </w:p>
    <w:p w:rsidR="008B1B8D" w:rsidRPr="008B1B8D" w:rsidRDefault="008B1B8D" w:rsidP="008B1B8D">
      <w:pPr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 ИСПОЛЬЗОВАНИЮ ГИДРОМИНЕРАЛЬНЫХ РЕСУРСОВ ОЗЕРА ДУС-ХОЛЬ (СВАТИКОВО), КЫЗЫЛ-2010</w:t>
      </w:r>
    </w:p>
    <w:p w:rsidR="008B1B8D" w:rsidRPr="008B1B8D" w:rsidRDefault="008B1B8D" w:rsidP="008B1B8D">
      <w:pPr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(те</w:t>
      </w:r>
      <w:proofErr w:type="gramStart"/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кст пр</w:t>
      </w:r>
      <w:proofErr w:type="gramEnd"/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иводится с сокращениями)</w:t>
      </w:r>
    </w:p>
    <w:p w:rsidR="008B1B8D" w:rsidRPr="008B1B8D" w:rsidRDefault="008B1B8D" w:rsidP="008B1B8D">
      <w:pPr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Лечебно-оздоровительные озера Республики Тыва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Основы климатотерапии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Издавна климатотерапия признана как один из наиболее доступных и эффективных лечебно-оздоровительных методов, не требующих для его при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менения больших материальных затрат. Основными ее формами являются: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55600A"/>
          <w:sz w:val="20"/>
          <w:szCs w:val="20"/>
          <w:lang w:eastAsia="ru-RU"/>
        </w:rPr>
        <w:t>-</w:t>
      </w:r>
      <w:r w:rsidRPr="008B1B8D">
        <w:rPr>
          <w:rFonts w:ascii="Arial" w:eastAsia="Times New Roman" w:hAnsi="Arial" w:cs="Arial"/>
          <w:color w:val="55600A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аэротерапия - лечение свежим чистым воздухом;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55600A"/>
          <w:sz w:val="20"/>
          <w:szCs w:val="20"/>
          <w:lang w:eastAsia="ru-RU"/>
        </w:rPr>
        <w:t>-</w:t>
      </w:r>
      <w:r w:rsidRPr="008B1B8D">
        <w:rPr>
          <w:rFonts w:ascii="Arial" w:eastAsia="Times New Roman" w:hAnsi="Arial" w:cs="Arial"/>
          <w:color w:val="55600A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гелиотерапия - использование лечебных свойств биологически активной части солнечной радиации;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55600A"/>
          <w:sz w:val="20"/>
          <w:szCs w:val="20"/>
          <w:lang w:eastAsia="ru-RU"/>
        </w:rPr>
        <w:t>-</w:t>
      </w:r>
      <w:r w:rsidRPr="008B1B8D">
        <w:rPr>
          <w:rFonts w:ascii="Arial" w:eastAsia="Times New Roman" w:hAnsi="Arial" w:cs="Arial"/>
          <w:color w:val="55600A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талассотерапия - купания в море, озере, бассейне.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Широкое распространение получили "активные" формы климатотерапии: утренняя гигиеническая гимнастика (УГГ), лечебная физкультура (ЛФК), проводимые на воздухе, прогулки, дозированная ходьба, терренкуры, ближний и дальний туризм и т.д.</w:t>
      </w:r>
      <w:proofErr w:type="gramEnd"/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Климатолечение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способствует закаливанию, коррекции УФ недостаточности, снятию явлений гипоксии, гиподинамии, интоксикации организма. Климатотерапевтические факторы оказывают благоприятное влияние на процессы иммуногенеза, способствуют десенсибилизации организма больного. Оно является мощным методом повышения неспецифической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резистентности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организма человека. Наряду с неспецифическим влиянием оно оказывает специфическое действие на структурные и гистохимические процессы в коже: так под влиянием солнечного облучения появляется эритема, происходит накопление ряда биологически активных веществ, образование витамина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другие изменения.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воздушных ваннах наиболее существенным звеном в механизме действия является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термоадаптация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дозированному охлаждению.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Холодовая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адаптация сопровождается сложной функционально-биологической перестройкой метаболизма, связанной с частичной сменой субстратов окисления. Действие климатических факторов комплексно по своей природе, поэтому естественно, что систематическое закаливание, тренировка способствуют развитию комбинированной адаптации организма сразу к нескольким факторам внешней среды. Адаптация организма к одному фактору повышает его устойчивость к другим факторам, например, повышает устойчивость к охлаждению. Адаптация к холоду повышает устойчивость организма к простудным заболеваниям и т.д.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Сущность процесса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климатолечения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курортах и в санаториях заключается в повышении функциональной способности основных систем организма, что достигается применением трех климатолечебных режимов, которые согласуются с санаторным режимом.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Режим №1 </w:t>
      </w:r>
      <w:r w:rsidRPr="008B1B8D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(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слабого воздействия) назначается по показаниям и в период акклиматизации, когда в новых климатических условиях происходит уравновешивание организма с внешней средой и создается состояние физиологического покоя. В задачу этого режима входит бережное отношение к ослабленной реактивности организма и подготовке его к более активной, тонизирующей терапии, что обусловливается ограничением климатических воздействий, "экспозиции к природе".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Режим №2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(умеренного воздействия) заключается в тренировке соответствующих механизмов нервной регуляции вегетативных функций, более длительным воздействием климатических факторов.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Режим №3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(интенсивного воздействия) способствует активному зака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ливанию и повышению устойчивости организма к резким изменениям метео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рологических условий за счет интенсивной тренировки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терморегуляционного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аппарата сильными раздражителями.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здравницах Сибири элементы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климатолечения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естественно присутствуют при различных лечебных комплексах курортной терапии, часто в сочетании с ЛФК, терренкуром, плаванием в открытых и закрытых водоемах и т.д. Однако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достижения наибольшего терапевтического эффекта в общий комплекс санаторно-курортного лечения больных следует включать специальные виды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климатолечения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обладающие целенаправленным и выраженным лечебным действием. На курортах умеренных широт к таким видам климатотерапии относятся аэротерапия и гелиотерапия.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Аэротерапия</w:t>
      </w:r>
      <w:r w:rsidRPr="008B1B8D">
        <w:rPr>
          <w:rFonts w:ascii="Arial" w:eastAsia="Times New Roman" w:hAnsi="Arial" w:cs="Arial"/>
          <w:color w:val="55600A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может быть представлена воздушными ваннами в покое и в сочетании с движением, сном на открытом воздухе, длительным пребыванием на открытом воздухе в одежде по сезону.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Методика применения аэротерапии базируется на использовании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холодового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раздражителя, применяемого регулярно с постепенным увеличением экспозиции и интенсивности охлаждения, с учетом индивидуальной реактивности больного.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основе оценки физиологических сдвигов в системе терморегуляции, мышечного тонуса, газообмена, гемодинамики, гомеостаза выделено три режима интенсивности воздействия охлаждением: режим слабого, среднего и сильного воздействия с ожидаемой слабой, умеренной и выраженной ответной реакцией организма.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Зоной комфорта</w:t>
      </w:r>
      <w:r w:rsidRPr="008B1B8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нормальной шкале эффективных температур для одетого по сезону человека считаются эквивалентно-эффективные температуры (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ЭЭТ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пределах 17-22є . В этой зоне пребывание на воздухе можно не ограничивать. Ограничения могут быть связаны лишь с неблагоприятной погодой.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Гелиотерапия 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включает различные формы солнцелечения: общие и местные солнечные ванны с применением прямого, рассеянного,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интермиттирующего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солнечного облучения.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Весь солнечный спектр обладает достаточно высокой биологической активностью. При солнечных облучениях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фазность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многообразие реакций со стороны органов и систем связаны с преобладанием той или иной формы излучения (ультрафиолетовое, инфракрасное, видное) и длины волны. В гелиотерапии особо выделяется роль </w:t>
      </w:r>
      <w:proofErr w:type="spellStart"/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УФ-радиации</w:t>
      </w:r>
      <w:proofErr w:type="spellEnd"/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способной вызвать различные фотобиологические эффекты,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Назначение и дозирование солнечных ванн должно проводиться строго индивидуально с учетом стадии заболевания, переносимости облучений, исходных цифр артериального давления, данных электрокардиограммы.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Неправильное дозирование солнечных ванн может привести к перегреву, вызвать солнечный удар, резкое повышение артериального давления, нарушение коронарного кровообращения.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Купание в озере</w:t>
      </w:r>
      <w:r w:rsidRPr="008B1B8D">
        <w:rPr>
          <w:rFonts w:ascii="Arial" w:eastAsia="Times New Roman" w:hAnsi="Arial" w:cs="Arial"/>
          <w:color w:val="55600A"/>
          <w:sz w:val="20"/>
          <w:szCs w:val="20"/>
          <w:lang w:eastAsia="ru-RU"/>
        </w:rPr>
        <w:t>.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Купание способствует тренировке нервно-гуморальных, </w:t>
      </w:r>
      <w:proofErr w:type="spellStart"/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сердечно-сосудистых</w:t>
      </w:r>
      <w:proofErr w:type="spellEnd"/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других механизмов: терморегуляции, обмена веществ, дыхательной функции, повышают жизненный тонус организма, оказывают выраженное закаливающее действие. Включение купаний в лечебный комплекс значительно повышает эффективность лечения. Дозирование купаний в прох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ладной воде, как и воздушных ванн, основано на учете дефицита тепла.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Однако, характер охлаждения организма в воде несколько иной, в 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связи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чем и схема дозирования купаний будет отличаться от схемы проведения воздушных ванн. При температуре воды в озере выше 22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єС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купания по режимам назначаются следующим образом: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</w:t>
      </w:r>
      <w:r w:rsidRPr="008B1B8D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</w:t>
      </w:r>
      <w:r w:rsidRPr="008B1B8D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щадящему режиму</w:t>
      </w:r>
      <w:r w:rsidRPr="008B1B8D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первые три купания проводятся в течени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1-3 мин;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</w:t>
      </w:r>
      <w:r w:rsidRPr="008B1B8D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</w:t>
      </w:r>
      <w:r w:rsidRPr="008B1B8D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щадяще-тренирующему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- 4-7мин;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 </w:t>
      </w: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 </w:t>
      </w:r>
      <w:proofErr w:type="gramStart"/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тренирующему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- 6-16 мин.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дальнейшем идет наращивание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холодовых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нагрузок до 13-30 мин.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Таким образом,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климатолечение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курорте осуществляется при помощи использования различных климатолечебных процедур в условиях местного привычного климата, а также с помощью смены климатических условий при переездах из одной географической зоны в другую. При направлении больных на лечение в иную климатическую зону следует учитывать контрастность смены погодно-климатических условий и способность организма больного к адаптации.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Правильное использование климатических факторов в санаторно-курортных условиях повышает эффективность лечения на 30% . В конечном итоге имеет значение, не только где и в каком климате лечить больного, но и как рационально использовать природно-климатические ресурсы данного региона.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Озеро </w:t>
      </w:r>
      <w:proofErr w:type="spellStart"/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Сватиково</w:t>
      </w:r>
      <w:proofErr w:type="spellEnd"/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Территория Тувы представлена чередованием горных систем и впадин. Озёра располагаются на территории трёх впадин: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Турано-Уюкской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Улуг-Хемской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Убсу-Нурской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Солёные озёра Тувы обследованы в 50-е годы прошлого столетия С.Г.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Цейтлиным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И.Н.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Лепешковым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В.Я.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Щербиным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О.М.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Гирфановой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А.И.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Игопшным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Н.Л.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Леонидовым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Характерная особенность почти всех озёр Тувы - их континентальное происхождение. Водно-солевой режим в основном регулируется за счет осадков и, привнося растворённых солей мелкими ручьями с окружающих возвышенностей, некоторые озёра пополняют свои водные запасы за счет подземных вод. Представляется информация о климатобальнеологических особенностях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Сватиково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что в переводе с тувинского языка означает «Соленое озеро».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Среди населения республики и за ее пределами оно пользуется большой известностью, расположено в центральной части Тувы, в 45 км к юго-востоку от г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.К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ызыл, на высоте 700 м над уровнем моря, в восточной части Тувинской котловины.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Озёрная рапа характеризуется высокой общей жесткостью. Следует отметить своеобразие "живой" органики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мелких красных рачков, которые способствуют очищению воды, пропуская ее через свой организм.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Озёрная рапа по составу хлоридная натриевая со слабощелочной реакцией среды. По солевому составу и содержанию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бальнеологически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ценных компонентов рапа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относится к минеральным лечебным водам и при условии сани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тарного благополучия может быть рекомендована для наружного применения.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Оценка качества донных отложений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проводилась 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Томским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НИИКиФ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1995г. По результатам проведённых анализов и в соответствии с методическими указаниями "Критерии оценки качества лечебных грязей при их разведке, использовании и охране". (Москва, МЗ, 1987г.) по основным физико-химическим показателям проба грязи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удовлетворяла типу</w:t>
      </w:r>
      <w:r w:rsidRPr="008B1B8D">
        <w:rPr>
          <w:rFonts w:ascii="Arial" w:eastAsia="Times New Roman" w:hAnsi="Arial" w:cs="Arial"/>
          <w:color w:val="55600A"/>
          <w:sz w:val="20"/>
          <w:lang w:eastAsia="ru-RU"/>
        </w:rPr>
        <w:t> </w:t>
      </w:r>
      <w:proofErr w:type="spellStart"/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средне-минерализованных</w:t>
      </w:r>
      <w:proofErr w:type="spellEnd"/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средне</w:t>
      </w:r>
      <w:r w:rsidRPr="008B1B8D">
        <w:rPr>
          <w:rFonts w:ascii="Arial" w:eastAsia="Times New Roman" w:hAnsi="Arial" w:cs="Arial"/>
          <w:color w:val="55600A"/>
          <w:sz w:val="20"/>
          <w:szCs w:val="20"/>
          <w:lang w:eastAsia="ru-RU"/>
        </w:rPr>
        <w:t>-</w:t>
      </w: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сульфидных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иловых минеральных лечебных грязей.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Ревизионное обследование рапы и донных отложений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проведено сотрудниками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ТНИИКиФ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период август - сентябрь 2001 г.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Одной из важных характеристик реальных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гелиоресурсов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местности является продолжительность солнечного сияния, которая показывает, сколько часов светит солнце над данной территорией. Рельеф котловины и особенности циркуляции атмосферы обеспечивают значительную продолжительность солнечного сияния на озере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Рассматривая световой климат данного района в сравнительном аспекте, можно отметить, что летом световые ресурсы превосходят многие известные курорты России, за исключением Сочи, а весной и осенью превосходят их значительно. Поэтому данная лечебно-оздоровительная местность обладает широкими возможностями для проведения гелиотерапии с апреля по октябрь.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Вблизи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происходит разгрузка подземных вод (родник). Из родника (июль, 1995г.) отобрана проба воды для физико-химических исследований. Анализы выполнены в лаборатории Тувинской ГРЭ.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учетом общепринятой классификации и действующего ГОСТ 13273-88 вода родника является маломинерализованной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гидрокарбонатно-сульфатно-хлоридной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магниево-натриевой по составу со 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слабо щелочной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реакцией водной среды. При благополучном санитарном состоянии может использоваться для внутреннего применения как 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питьевая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лечебно-столовая. 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Минеральную воду родника озера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условно можно отнести к типу "Махачкалинский", которая показана как лечебно-столовая при: хронических гастритах с нормальной и пониженной секреторной функцией желудка;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неосложненной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язвенной болезни желудка и двенадцатиперстной кишки; хронических колитах и энтероколитах; хронических заболеваниях печени и желчевыводящих путей; хронических панкреатитах; болезнях обмена веществ; хронических заболеваниях мочевыводящих путей.</w:t>
      </w:r>
      <w:proofErr w:type="gramEnd"/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ПОКАЗАНИЯ</w:t>
      </w:r>
      <w:r w:rsidRPr="008B1B8D">
        <w:rPr>
          <w:rFonts w:ascii="Arial" w:eastAsia="Times New Roman" w:hAnsi="Arial" w:cs="Arial"/>
          <w:b/>
          <w:bCs/>
          <w:color w:val="55600A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ДЛЯ САНАТОРНОГО ОЗДОРОВЛЕНИЯ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Болезни костно-мышечной системы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Артриты и полиартриты нетуберкулезного происхождения: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ревматоидный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артрит в неактивной фазе с минимальной и средней активностью процесса;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полиартрит инфекционный определенной этиологии при активности процесса не выше 2-ой стадии;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деформирующий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остеоартроз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остеохондроз;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спондилез;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спондилоартроз;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анкилозирующий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спондилоартрит при активности процесса не выше 2-ой стадии без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висцерита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Последствия перелома костей туловища и конечностей с замедленной консолидацией.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Хронические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синовиты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бурситы различных локализаций, тендовагиниты, миозиты,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фибромиозиты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миалгии,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эпикондилиты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Остеомиелит гематогенный (кроме туберкулезного), не требующий хирургического вмешательства.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Болезни нервной системы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Болезни периферических нервов: радикулиты,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радикулоневриты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полирадикулиты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любмалгия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люмбоишиалгия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ишиас, плекситы, полиневриты, невриты лицевого, тройничного нервов, поражения отдельных нервов конечностей,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неврофибромиозит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вне фазы обострения.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Болезни вегетативной нервной системы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Травмы нервов – травмы корешков, сплетений, нервных стволов, не требующие хирургического вмешательства.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Заболевания кожи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Экзема (хроническая стадия, стационарная фаза) истинная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себоррейная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дисгидротическая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форма;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Нейродермит;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Псориаз;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Аллергические дерматиты;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Почесуха и хроническая крапивница.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ind w:left="414" w:firstLine="552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Гинекологические заболевания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Хронический сальпингит, оофорит через 2 месяца после обострения.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Хронический метрит, эндометрит через 4 недели после обострения.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Хронический параметрит через 4-6 недель по окончании острого периода.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Тазовые спайки брюшины.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Инфильтрат после хирургических вмешательств по поводу заболеваний матки, труб, яичников по окончании острого периода через 6-8 недель после операции.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Неправильные положения матки: фиксированная или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субфиксированная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ретрофлексия, 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ретроверзия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после воспалительного процесса женских половых органов или вследствие тазовых спаек брюшины.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Дисфункция яичников. Инфантилизм или гипоплазия матки, в т.ч. в сочетании с 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хроническим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воспалительным процессов женских половых органов.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Бесплодие, возникшее в результате воспалительных заболеваний.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образом, лечебно-оздоровительные свойства озера «</w:t>
      </w:r>
      <w:proofErr w:type="spell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Дус-Хол</w:t>
      </w:r>
      <w:proofErr w:type="spell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», можно отнести </w:t>
      </w:r>
      <w:proofErr w:type="gramStart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комплексным, которые применяются при ряде наиболее встречаемых заболеваниях.</w:t>
      </w:r>
    </w:p>
    <w:p w:rsidR="008B1B8D" w:rsidRPr="008B1B8D" w:rsidRDefault="008B1B8D" w:rsidP="008B1B8D">
      <w:pPr>
        <w:spacing w:after="0" w:line="240" w:lineRule="auto"/>
        <w:ind w:left="414" w:firstLine="55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B1B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B1B8D" w:rsidRPr="008B1B8D" w:rsidRDefault="008B1B8D" w:rsidP="008B1B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467.75pt;height:.85pt" o:hralign="center" o:hrstd="t" o:hr="t" fillcolor="#a0a0a0" stroked="f"/>
        </w:pict>
      </w:r>
    </w:p>
    <w:p w:rsidR="008B1B8D" w:rsidRPr="008B1B8D" w:rsidRDefault="008B1B8D" w:rsidP="008B1B8D">
      <w:pPr>
        <w:pBdr>
          <w:top w:val="single" w:sz="6" w:space="3" w:color="51280C"/>
          <w:bottom w:val="dotted" w:sz="6" w:space="3" w:color="51280C"/>
        </w:pBdr>
        <w:spacing w:after="166" w:line="240" w:lineRule="auto"/>
        <w:outlineLvl w:val="3"/>
        <w:rPr>
          <w:rFonts w:ascii="Arial" w:eastAsia="Times New Roman" w:hAnsi="Arial" w:cs="Arial"/>
          <w:b/>
          <w:bCs/>
          <w:caps/>
          <w:color w:val="51280C"/>
          <w:spacing w:val="-8"/>
          <w:sz w:val="23"/>
          <w:szCs w:val="23"/>
          <w:lang w:eastAsia="ru-RU"/>
        </w:rPr>
      </w:pPr>
      <w:r w:rsidRPr="008B1B8D">
        <w:rPr>
          <w:rFonts w:ascii="Arial" w:eastAsia="Times New Roman" w:hAnsi="Arial" w:cs="Arial"/>
          <w:b/>
          <w:bCs/>
          <w:caps/>
          <w:color w:val="51280C"/>
          <w:spacing w:val="-8"/>
          <w:sz w:val="23"/>
          <w:szCs w:val="23"/>
          <w:lang w:eastAsia="ru-RU"/>
        </w:rPr>
        <w:t>КОНТАКТЫ</w:t>
      </w:r>
    </w:p>
    <w:p w:rsidR="008B1B8D" w:rsidRPr="008B1B8D" w:rsidRDefault="008B1B8D" w:rsidP="008B1B8D">
      <w:pPr>
        <w:spacing w:after="331" w:line="281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8B1B8D">
        <w:rPr>
          <w:rFonts w:ascii="Arial" w:eastAsia="Times New Roman" w:hAnsi="Arial" w:cs="Arial"/>
          <w:b/>
          <w:bCs/>
          <w:color w:val="51280C"/>
          <w:sz w:val="20"/>
          <w:szCs w:val="20"/>
          <w:lang w:eastAsia="ru-RU"/>
        </w:rPr>
        <w:t>База "</w:t>
      </w:r>
      <w:proofErr w:type="spellStart"/>
      <w:r w:rsidRPr="008B1B8D">
        <w:rPr>
          <w:rFonts w:ascii="Arial" w:eastAsia="Times New Roman" w:hAnsi="Arial" w:cs="Arial"/>
          <w:b/>
          <w:bCs/>
          <w:color w:val="51280C"/>
          <w:sz w:val="20"/>
          <w:szCs w:val="20"/>
          <w:lang w:eastAsia="ru-RU"/>
        </w:rPr>
        <w:t>Силбир</w:t>
      </w:r>
      <w:proofErr w:type="spellEnd"/>
      <w:r w:rsidRPr="008B1B8D">
        <w:rPr>
          <w:rFonts w:ascii="Arial" w:eastAsia="Times New Roman" w:hAnsi="Arial" w:cs="Arial"/>
          <w:b/>
          <w:bCs/>
          <w:color w:val="51280C"/>
          <w:sz w:val="20"/>
          <w:szCs w:val="20"/>
          <w:lang w:eastAsia="ru-RU"/>
        </w:rPr>
        <w:t>"</w:t>
      </w:r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br/>
        <w:t>Республика Тыва</w:t>
      </w:r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br/>
        <w:t xml:space="preserve">озеро </w:t>
      </w:r>
      <w:proofErr w:type="spellStart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>Дус-Холь</w:t>
      </w:r>
      <w:proofErr w:type="spellEnd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 xml:space="preserve"> (</w:t>
      </w:r>
      <w:proofErr w:type="spellStart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>Сватиково</w:t>
      </w:r>
      <w:proofErr w:type="spellEnd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>)</w:t>
      </w:r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br/>
        <w:t>Телефон на базе:</w:t>
      </w:r>
      <w:r w:rsidRPr="008B1B8D">
        <w:rPr>
          <w:rFonts w:ascii="Arial" w:eastAsia="Times New Roman" w:hAnsi="Arial" w:cs="Arial"/>
          <w:color w:val="51280C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b/>
          <w:bCs/>
          <w:color w:val="51280C"/>
          <w:sz w:val="20"/>
          <w:szCs w:val="20"/>
          <w:lang w:eastAsia="ru-RU"/>
        </w:rPr>
        <w:br/>
      </w:r>
      <w:r w:rsidRPr="008B1B8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+7 (923) 548 55 </w:t>
      </w:r>
      <w:proofErr w:type="spellStart"/>
      <w:r w:rsidRPr="008B1B8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55</w:t>
      </w:r>
      <w:proofErr w:type="spellEnd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br/>
      </w:r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br/>
      </w:r>
      <w:r w:rsidRPr="008B1B8D">
        <w:rPr>
          <w:rFonts w:ascii="Arial" w:eastAsia="Times New Roman" w:hAnsi="Arial" w:cs="Arial"/>
          <w:b/>
          <w:bCs/>
          <w:color w:val="51280C"/>
          <w:sz w:val="20"/>
          <w:szCs w:val="20"/>
          <w:lang w:eastAsia="ru-RU"/>
        </w:rPr>
        <w:t>Офис в городе Кызыле:</w:t>
      </w:r>
      <w:r w:rsidRPr="008B1B8D">
        <w:rPr>
          <w:rFonts w:ascii="Arial" w:eastAsia="Times New Roman" w:hAnsi="Arial" w:cs="Arial"/>
          <w:b/>
          <w:bCs/>
          <w:color w:val="51280C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51280C"/>
          <w:sz w:val="20"/>
          <w:szCs w:val="20"/>
          <w:lang w:eastAsia="ru-RU"/>
        </w:rPr>
        <w:t xml:space="preserve">ул. </w:t>
      </w:r>
      <w:proofErr w:type="spellStart"/>
      <w:r>
        <w:rPr>
          <w:rFonts w:ascii="Arial" w:eastAsia="Times New Roman" w:hAnsi="Arial" w:cs="Arial"/>
          <w:color w:val="51280C"/>
          <w:sz w:val="20"/>
          <w:szCs w:val="20"/>
          <w:lang w:eastAsia="ru-RU"/>
        </w:rPr>
        <w:t>Тув</w:t>
      </w:r>
      <w:proofErr w:type="spellEnd"/>
      <w:r>
        <w:rPr>
          <w:rFonts w:ascii="Arial" w:eastAsia="Times New Roman" w:hAnsi="Arial" w:cs="Arial"/>
          <w:color w:val="51280C"/>
          <w:sz w:val="20"/>
          <w:szCs w:val="20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51280C"/>
          <w:sz w:val="20"/>
          <w:szCs w:val="20"/>
          <w:lang w:eastAsia="ru-RU"/>
        </w:rPr>
        <w:t>Добро</w:t>
      </w:r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>льцев</w:t>
      </w:r>
      <w:proofErr w:type="spellEnd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>, 1/1, третий этаж Телефон офиса:</w:t>
      </w:r>
      <w:r w:rsidRPr="008B1B8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+7 (923) 548 77 </w:t>
      </w:r>
      <w:proofErr w:type="spellStart"/>
      <w:r w:rsidRPr="008B1B8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77</w:t>
      </w:r>
      <w:proofErr w:type="spellEnd"/>
      <w:r w:rsidRPr="008B1B8D">
        <w:rPr>
          <w:rFonts w:ascii="Arial" w:eastAsia="Times New Roman" w:hAnsi="Arial" w:cs="Arial"/>
          <w:b/>
          <w:bCs/>
          <w:color w:val="51280C"/>
          <w:sz w:val="20"/>
          <w:szCs w:val="20"/>
          <w:lang w:eastAsia="ru-RU"/>
        </w:rPr>
        <w:br/>
        <w:t>                  </w:t>
      </w:r>
      <w:r w:rsidRPr="008B1B8D">
        <w:rPr>
          <w:rFonts w:ascii="Arial" w:eastAsia="Times New Roman" w:hAnsi="Arial" w:cs="Arial"/>
          <w:b/>
          <w:bCs/>
          <w:color w:val="51280C"/>
          <w:sz w:val="20"/>
          <w:lang w:eastAsia="ru-RU"/>
        </w:rPr>
        <w:t> </w:t>
      </w:r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br/>
        <w:t>E-</w:t>
      </w:r>
      <w:r w:rsidRPr="008B1B8D">
        <w:rPr>
          <w:rFonts w:ascii="Arial" w:eastAsia="Times New Roman" w:hAnsi="Arial" w:cs="Arial"/>
          <w:color w:val="51280C"/>
          <w:sz w:val="20"/>
          <w:szCs w:val="20"/>
          <w:lang w:val="en-US" w:eastAsia="ru-RU"/>
        </w:rPr>
        <w:t>m</w:t>
      </w:r>
      <w:proofErr w:type="spellStart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>ail</w:t>
      </w:r>
      <w:proofErr w:type="spellEnd"/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t>:</w:t>
      </w:r>
      <w:r w:rsidRPr="008B1B8D">
        <w:rPr>
          <w:rFonts w:ascii="Arial" w:eastAsia="Times New Roman" w:hAnsi="Arial" w:cs="Arial"/>
          <w:color w:val="55600A"/>
          <w:sz w:val="20"/>
          <w:lang w:eastAsia="ru-RU"/>
        </w:rPr>
        <w:t> </w:t>
      </w:r>
      <w:proofErr w:type="spellStart"/>
      <w:r w:rsidRPr="008B1B8D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fldChar w:fldCharType="begin"/>
      </w:r>
      <w:r w:rsidRPr="008B1B8D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instrText xml:space="preserve"> HYPERLINK "mailto:info@yourbusiness.com" </w:instrText>
      </w:r>
      <w:r w:rsidRPr="008B1B8D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fldChar w:fldCharType="separate"/>
      </w:r>
      <w:r w:rsidRPr="008B1B8D">
        <w:rPr>
          <w:rFonts w:ascii="Arial" w:eastAsia="Times New Roman" w:hAnsi="Arial" w:cs="Arial"/>
          <w:b/>
          <w:bCs/>
          <w:color w:val="51280C"/>
          <w:sz w:val="20"/>
          <w:u w:val="single"/>
          <w:lang w:eastAsia="ru-RU"/>
        </w:rPr>
        <w:t>info@</w:t>
      </w:r>
      <w:r w:rsidRPr="008B1B8D">
        <w:rPr>
          <w:rFonts w:ascii="Arial" w:eastAsia="Times New Roman" w:hAnsi="Arial" w:cs="Arial"/>
          <w:b/>
          <w:bCs/>
          <w:color w:val="51280C"/>
          <w:sz w:val="20"/>
          <w:u w:val="single"/>
          <w:lang w:val="en-US" w:eastAsia="ru-RU"/>
        </w:rPr>
        <w:t>sil</w:t>
      </w:r>
      <w:proofErr w:type="spellEnd"/>
      <w:r w:rsidRPr="008B1B8D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fldChar w:fldCharType="end"/>
      </w:r>
      <w:r w:rsidRPr="008B1B8D">
        <w:rPr>
          <w:rFonts w:ascii="Arial" w:eastAsia="Times New Roman" w:hAnsi="Arial" w:cs="Arial"/>
          <w:color w:val="51280C"/>
          <w:sz w:val="20"/>
          <w:szCs w:val="20"/>
          <w:lang w:eastAsia="ru-RU"/>
        </w:rPr>
        <w:br/>
      </w:r>
    </w:p>
    <w:p w:rsidR="008B1B8D" w:rsidRDefault="008B1B8D" w:rsidP="008B1B8D">
      <w:pPr>
        <w:spacing w:after="331" w:line="281" w:lineRule="atLeast"/>
        <w:rPr>
          <w:rFonts w:ascii="Arial" w:eastAsia="Times New Roman" w:hAnsi="Arial" w:cs="Arial"/>
          <w:color w:val="51280C"/>
          <w:sz w:val="20"/>
          <w:szCs w:val="20"/>
          <w:lang w:eastAsia="ru-RU"/>
        </w:rPr>
      </w:pPr>
    </w:p>
    <w:p w:rsidR="008F7F5F" w:rsidRDefault="008F7F5F"/>
    <w:sectPr w:rsidR="008F7F5F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B1B8D"/>
    <w:rsid w:val="000632E1"/>
    <w:rsid w:val="001C6A36"/>
    <w:rsid w:val="00227BEA"/>
    <w:rsid w:val="002B3F31"/>
    <w:rsid w:val="002C1982"/>
    <w:rsid w:val="002C4E47"/>
    <w:rsid w:val="002F0E49"/>
    <w:rsid w:val="00491D91"/>
    <w:rsid w:val="005C4B2F"/>
    <w:rsid w:val="00706778"/>
    <w:rsid w:val="007110AC"/>
    <w:rsid w:val="0079068D"/>
    <w:rsid w:val="008479DB"/>
    <w:rsid w:val="008902E4"/>
    <w:rsid w:val="008B1B8D"/>
    <w:rsid w:val="008F7F5F"/>
    <w:rsid w:val="00A81511"/>
    <w:rsid w:val="00D22430"/>
    <w:rsid w:val="00E3528A"/>
    <w:rsid w:val="00EB459E"/>
    <w:rsid w:val="00EE3BA7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paragraph" w:styleId="1">
    <w:name w:val="heading 1"/>
    <w:basedOn w:val="a"/>
    <w:link w:val="10"/>
    <w:uiPriority w:val="9"/>
    <w:qFormat/>
    <w:rsid w:val="008B1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B1B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1B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1B8D"/>
  </w:style>
  <w:style w:type="paragraph" w:styleId="a3">
    <w:name w:val="Normal (Web)"/>
    <w:basedOn w:val="a"/>
    <w:uiPriority w:val="99"/>
    <w:semiHidden/>
    <w:unhideWhenUsed/>
    <w:rsid w:val="008B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1B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199">
          <w:marLeft w:val="8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2043</Words>
  <Characters>11649</Characters>
  <Application>Microsoft Office Word</Application>
  <DocSecurity>0</DocSecurity>
  <Lines>97</Lines>
  <Paragraphs>27</Paragraphs>
  <ScaleCrop>false</ScaleCrop>
  <Company>RePack by SPecialiST</Company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2016-06-21T06:49:00Z</cp:lastPrinted>
  <dcterms:created xsi:type="dcterms:W3CDTF">2016-06-21T06:47:00Z</dcterms:created>
  <dcterms:modified xsi:type="dcterms:W3CDTF">2016-06-21T06:49:00Z</dcterms:modified>
</cp:coreProperties>
</file>