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6EED9">
      <w:pPr>
        <w:spacing w:after="0" w:line="360" w:lineRule="auto"/>
        <w:ind w:firstLine="851"/>
        <w:jc w:val="center"/>
        <w:rPr>
          <w:rFonts w:hint="default" w:ascii="Times New Roman" w:hAnsi="Times New Roman"/>
          <w:b/>
          <w:bCs w:val="0"/>
          <w:color w:val="auto"/>
          <w:sz w:val="24"/>
          <w:szCs w:val="24"/>
          <w:lang w:val="en-US" w:eastAsia="ru-RU"/>
        </w:rPr>
      </w:pPr>
      <w:r>
        <w:rPr>
          <w:rFonts w:ascii="Times New Roman" w:hAnsi="Times New Roman"/>
          <w:b/>
          <w:bCs w:val="0"/>
          <w:color w:val="auto"/>
          <w:sz w:val="24"/>
          <w:szCs w:val="24"/>
          <w:lang w:eastAsia="ru-RU"/>
        </w:rPr>
        <w:t>Публичный</w:t>
      </w:r>
      <w:r>
        <w:rPr>
          <w:rFonts w:hint="default" w:ascii="Times New Roman" w:hAnsi="Times New Roman"/>
          <w:b/>
          <w:bCs w:val="0"/>
          <w:color w:val="auto"/>
          <w:sz w:val="24"/>
          <w:szCs w:val="24"/>
          <w:lang w:val="en-US" w:eastAsia="ru-RU"/>
        </w:rPr>
        <w:t xml:space="preserve"> отчёт </w:t>
      </w:r>
    </w:p>
    <w:p w14:paraId="241667D6">
      <w:pPr>
        <w:spacing w:after="0" w:line="360" w:lineRule="auto"/>
        <w:ind w:firstLine="851"/>
        <w:jc w:val="center"/>
        <w:rPr>
          <w:rFonts w:hint="default" w:ascii="Times New Roman" w:hAnsi="Times New Roman"/>
          <w:b/>
          <w:bCs w:val="0"/>
          <w:color w:val="auto"/>
          <w:sz w:val="24"/>
          <w:szCs w:val="24"/>
          <w:lang w:val="en-US" w:eastAsia="ru-RU"/>
        </w:rPr>
      </w:pPr>
      <w:r>
        <w:rPr>
          <w:rFonts w:hint="default" w:ascii="Times New Roman" w:hAnsi="Times New Roman"/>
          <w:b/>
          <w:bCs w:val="0"/>
          <w:color w:val="auto"/>
          <w:sz w:val="24"/>
          <w:szCs w:val="24"/>
          <w:lang w:val="en-US" w:eastAsia="ru-RU"/>
        </w:rPr>
        <w:t xml:space="preserve">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w:t>
      </w:r>
    </w:p>
    <w:p w14:paraId="4881F72F">
      <w:pPr>
        <w:spacing w:after="0" w:line="360" w:lineRule="auto"/>
        <w:ind w:firstLine="851"/>
        <w:jc w:val="center"/>
        <w:rPr>
          <w:rFonts w:hint="default" w:ascii="Times New Roman" w:hAnsi="Times New Roman"/>
          <w:b/>
          <w:bCs w:val="0"/>
          <w:color w:val="auto"/>
          <w:sz w:val="24"/>
          <w:szCs w:val="24"/>
          <w:lang w:val="en-US" w:eastAsia="ru-RU"/>
        </w:rPr>
      </w:pPr>
      <w:r>
        <w:rPr>
          <w:rFonts w:hint="default" w:ascii="Times New Roman" w:hAnsi="Times New Roman"/>
          <w:b/>
          <w:bCs w:val="0"/>
          <w:color w:val="auto"/>
          <w:sz w:val="24"/>
          <w:szCs w:val="24"/>
          <w:lang w:val="en-US" w:eastAsia="ru-RU"/>
        </w:rPr>
        <w:t>за 2024 год</w:t>
      </w:r>
    </w:p>
    <w:p w14:paraId="6A74E658">
      <w:pPr>
        <w:keepNext w:val="0"/>
        <w:keepLines w:val="0"/>
        <w:pageBreakBefore w:val="0"/>
        <w:widowControl/>
        <w:kinsoku/>
        <w:wordWrap/>
        <w:overflowPunct/>
        <w:topLinePunct w:val="0"/>
        <w:autoSpaceDE/>
        <w:autoSpaceDN/>
        <w:bidi w:val="0"/>
        <w:adjustRightInd/>
        <w:snapToGrid/>
        <w:spacing w:after="181" w:afterLines="50" w:line="240" w:lineRule="auto"/>
        <w:ind w:firstLine="8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xml:space="preserve"> Предлагаем вниманию Открытый (публичный) отчет постоянно действующего выборного коллегиального руководящего органа (Комитета)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по основным направлениям деятельности за 2024 год.</w:t>
      </w:r>
    </w:p>
    <w:p w14:paraId="6C9F1066">
      <w:pPr>
        <w:keepNext w:val="0"/>
        <w:keepLines w:val="0"/>
        <w:pageBreakBefore w:val="0"/>
        <w:widowControl/>
        <w:kinsoku/>
        <w:wordWrap/>
        <w:overflowPunct/>
        <w:topLinePunct w:val="0"/>
        <w:autoSpaceDE/>
        <w:autoSpaceDN/>
        <w:bidi w:val="0"/>
        <w:adjustRightInd/>
        <w:snapToGrid/>
        <w:spacing w:after="181" w:afterLines="50" w:line="240" w:lineRule="auto"/>
        <w:ind w:firstLine="8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xml:space="preserve"> Отчет составлен в целях реализации постановления Исполкома Профсоюза от 22 сентября 2015 г. №2-5 «О введении в профсоюзе ежегодного Открытого (публичного) отчета (доклада) выборного органа первичной, местной, региональной и межрегиональной организации Профсоюза» и Устава Профсоюза (ст.14, п.5.9.), предусматривающих ежегодный отчёт выборного профсоюзного органа, и направлен на обеспечение прозрачности деятельности профсоюзной организации и повышение ее эффективности.</w:t>
      </w:r>
    </w:p>
    <w:p w14:paraId="368AF69C">
      <w:pPr>
        <w:keepNext w:val="0"/>
        <w:keepLines w:val="0"/>
        <w:pageBreakBefore w:val="0"/>
        <w:widowControl/>
        <w:kinsoku/>
        <w:wordWrap/>
        <w:overflowPunct/>
        <w:topLinePunct w:val="0"/>
        <w:autoSpaceDE/>
        <w:autoSpaceDN/>
        <w:bidi w:val="0"/>
        <w:adjustRightInd/>
        <w:snapToGrid/>
        <w:spacing w:after="181" w:afterLines="50" w:line="240" w:lineRule="auto"/>
        <w:ind w:firstLine="8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Территориальная организация Профессионального союза работников народного образования и науки Российской Федерации города Волжского Волгоградской области</w:t>
      </w:r>
      <w:r>
        <w:rPr>
          <w:rFonts w:hint="default" w:ascii="Times New Roman" w:hAnsi="Times New Roman"/>
          <w:b/>
          <w:bCs w:val="0"/>
          <w:color w:val="auto"/>
          <w:sz w:val="24"/>
          <w:szCs w:val="24"/>
          <w:lang w:val="en-US" w:eastAsia="ru-RU"/>
        </w:rPr>
        <w:t xml:space="preserve"> </w:t>
      </w:r>
      <w:r>
        <w:rPr>
          <w:rFonts w:hint="default" w:ascii="Times New Roman" w:hAnsi="Times New Roman"/>
          <w:b w:val="0"/>
          <w:bCs/>
          <w:color w:val="auto"/>
          <w:sz w:val="24"/>
          <w:szCs w:val="24"/>
          <w:lang w:val="en-US" w:eastAsia="ru-RU"/>
        </w:rPr>
        <w:t>в 2024 году направляла свою работу на реализацию уставной деятельности, решений, программ VIII Съезда Профессионального союза работников народного образования и науки Российской Федерации, определившего задачи на 2020-2025г.г., Декларации Профессионального союза работников народного образования и науки Российской Федерации, Приоритетных направлений деятельности Профессионального союза работников народного образования и науки Российской Федерации на 2020–2025 годы и XXIX областной отчетно-выборной конференции Волгоградской областной организации Общероссийского Профсоюза образования, а также на выполнение плана мероприятия Года организационно - кадрового единства в Общероссийском Профсоюзе образования.</w:t>
      </w:r>
    </w:p>
    <w:p w14:paraId="5CB87A8C">
      <w:pPr>
        <w:spacing w:after="0" w:line="240" w:lineRule="auto"/>
        <w:ind w:firstLine="851"/>
        <w:jc w:val="center"/>
        <w:rPr>
          <w:rFonts w:hint="default" w:ascii="Times New Roman" w:hAnsi="Times New Roman"/>
          <w:b/>
          <w:bCs w:val="0"/>
          <w:color w:val="auto"/>
          <w:sz w:val="24"/>
          <w:szCs w:val="24"/>
          <w:lang w:val="en-US" w:eastAsia="ru-RU"/>
        </w:rPr>
      </w:pPr>
      <w:r>
        <w:rPr>
          <w:rFonts w:hint="default" w:ascii="Times New Roman" w:hAnsi="Times New Roman"/>
          <w:b/>
          <w:bCs w:val="0"/>
          <w:color w:val="auto"/>
          <w:sz w:val="24"/>
          <w:szCs w:val="24"/>
          <w:lang w:val="en-US" w:eastAsia="ru-RU"/>
        </w:rPr>
        <w:t>Структура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w:t>
      </w:r>
    </w:p>
    <w:p w14:paraId="70F03F8E">
      <w:pPr>
        <w:spacing w:after="0" w:line="240" w:lineRule="auto"/>
        <w:ind w:firstLine="851"/>
        <w:jc w:val="center"/>
        <w:rPr>
          <w:rFonts w:hint="default" w:ascii="Times New Roman" w:hAnsi="Times New Roman"/>
          <w:b/>
          <w:bCs w:val="0"/>
          <w:color w:val="auto"/>
          <w:sz w:val="24"/>
          <w:szCs w:val="24"/>
          <w:lang w:val="en-US" w:eastAsia="ru-RU"/>
        </w:rPr>
      </w:pPr>
    </w:p>
    <w:p w14:paraId="67F5AFE8">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Общая численность Территориальной организации профсоюза по состоянию на 1 января 2025 года составляет 2311 членов профсоюза,</w:t>
      </w:r>
    </w:p>
    <w:p w14:paraId="08E84552">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xml:space="preserve">которые на учете состоят в 78 первичных профсоюзных организациях: </w:t>
      </w:r>
    </w:p>
    <w:p w14:paraId="33C1F606">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xml:space="preserve">- 29 первичных профсоюзных организаций в общеобразовательных учреждениях; </w:t>
      </w:r>
    </w:p>
    <w:p w14:paraId="7F72D77D">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- 46 первичных профсоюзных организаций в учреждениях дошкольного образования;</w:t>
      </w:r>
    </w:p>
    <w:p w14:paraId="7153C091">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- 1 первичная профсоюзная организация в учреждении дополнительного образования;</w:t>
      </w:r>
    </w:p>
    <w:p w14:paraId="30950BCB">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- 1 первичная профсоюзная организация в профессиональном образовательном учреждении (работающих);</w:t>
      </w:r>
    </w:p>
    <w:p w14:paraId="6ED8DB52">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1 первичная профсоюзная организация в «других» организациях.</w:t>
      </w:r>
    </w:p>
    <w:p w14:paraId="457AEBA4">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По сравнению с прошлым годом количество первичных профсоюзных организаций осталось на прежнем уровне.</w:t>
      </w:r>
    </w:p>
    <w:p w14:paraId="52F6CF2B">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В 2024 году процент профсоюзного членства работающих составил 70%.</w:t>
      </w:r>
    </w:p>
    <w:p w14:paraId="25D86172">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Количество работающих в системе образования города составляет 3005 человек, из них членов профсоюза  2103 человека.</w:t>
      </w:r>
    </w:p>
    <w:p w14:paraId="43F6F40D">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Основными причинами выхода из профсоюза являются:</w:t>
      </w:r>
    </w:p>
    <w:p w14:paraId="55D42F3E">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недостаточная индивидуальная работа в первичных профсоюзных организациях по мотивации профсоюзного членства среди вновь принятых на работу и молодых педагогов;</w:t>
      </w:r>
    </w:p>
    <w:p w14:paraId="7C1BA6D4">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достижение пенсионного возраста и увольнение на перерасчет пенсии;</w:t>
      </w:r>
    </w:p>
    <w:p w14:paraId="3177FE44">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иждивенческое отношение отдельных членов профсоюза, которые воспользовавшись услугами профсоюза, выходят из него;</w:t>
      </w:r>
    </w:p>
    <w:p w14:paraId="37D9956D">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реорганизация и оптимизация образовательных учреждений, которая повлияла на количество работающих в учреждении и, соответственно, на членство в профсоюзе.</w:t>
      </w:r>
    </w:p>
    <w:p w14:paraId="21AE105E">
      <w:pPr>
        <w:spacing w:after="0" w:line="240" w:lineRule="auto"/>
        <w:ind w:firstLine="851"/>
        <w:jc w:val="both"/>
        <w:rPr>
          <w:rFonts w:hint="default" w:ascii="Times New Roman" w:hAnsi="Times New Roman"/>
          <w:b w:val="0"/>
          <w:bCs/>
          <w:color w:val="auto"/>
          <w:sz w:val="24"/>
          <w:szCs w:val="24"/>
          <w:lang w:val="en-US" w:eastAsia="ru-RU"/>
        </w:rPr>
      </w:pPr>
    </w:p>
    <w:p w14:paraId="703BD564">
      <w:pPr>
        <w:spacing w:after="0" w:line="240" w:lineRule="auto"/>
        <w:jc w:val="center"/>
        <w:rPr>
          <w:rFonts w:hint="default" w:ascii="Times New Roman" w:hAnsi="Times New Roman"/>
          <w:b/>
          <w:bCs w:val="0"/>
          <w:color w:val="auto"/>
          <w:sz w:val="24"/>
          <w:szCs w:val="24"/>
          <w:lang w:val="en-US" w:eastAsia="ru-RU"/>
        </w:rPr>
      </w:pPr>
      <w:r>
        <w:rPr>
          <w:rFonts w:hint="default" w:ascii="Times New Roman" w:hAnsi="Times New Roman"/>
          <w:b/>
          <w:bCs w:val="0"/>
          <w:color w:val="auto"/>
          <w:sz w:val="24"/>
          <w:szCs w:val="24"/>
          <w:lang w:val="en-US" w:eastAsia="ru-RU"/>
        </w:rPr>
        <w:t xml:space="preserve">Деятельность Комитета </w:t>
      </w:r>
    </w:p>
    <w:p w14:paraId="44B47804">
      <w:pPr>
        <w:spacing w:after="0" w:line="240" w:lineRule="auto"/>
        <w:jc w:val="center"/>
        <w:rPr>
          <w:rFonts w:hint="default" w:ascii="Times New Roman" w:hAnsi="Times New Roman"/>
          <w:b/>
          <w:bCs w:val="0"/>
          <w:color w:val="auto"/>
          <w:sz w:val="24"/>
          <w:szCs w:val="24"/>
          <w:lang w:val="en-US" w:eastAsia="ru-RU"/>
        </w:rPr>
      </w:pPr>
      <w:r>
        <w:rPr>
          <w:rFonts w:hint="default" w:ascii="Times New Roman" w:hAnsi="Times New Roman"/>
          <w:b/>
          <w:bCs w:val="0"/>
          <w:color w:val="auto"/>
          <w:sz w:val="24"/>
          <w:szCs w:val="24"/>
          <w:lang w:val="en-US" w:eastAsia="ru-RU"/>
        </w:rPr>
        <w:t>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w:t>
      </w:r>
    </w:p>
    <w:p w14:paraId="0FEF77E1">
      <w:pPr>
        <w:spacing w:after="0" w:line="240" w:lineRule="auto"/>
        <w:jc w:val="center"/>
        <w:rPr>
          <w:rFonts w:hint="default" w:ascii="Times New Roman" w:hAnsi="Times New Roman"/>
          <w:b/>
          <w:bCs w:val="0"/>
          <w:color w:val="auto"/>
          <w:sz w:val="24"/>
          <w:szCs w:val="24"/>
          <w:lang w:val="en-US" w:eastAsia="ru-RU"/>
        </w:rPr>
      </w:pPr>
    </w:p>
    <w:p w14:paraId="72C9C8F4">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2024 год - год организационно-кадрового единства в Общероссийском профсоюзе образования. Через отчетно-выборную кампанию прошли все первичные профсоюзные организации города.</w:t>
      </w:r>
    </w:p>
    <w:p w14:paraId="18E4DCE5">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Было избрано 28 председателей первичных профсоюзных организаций впервые.</w:t>
      </w:r>
    </w:p>
    <w:p w14:paraId="668D4176">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10 октября 2024 года состоялось VIII отчетно-выборная городская профсоюзная конференция, на которой присутствовало - 77 человек, отсутствовало по уважительным причинам - 5 человек.</w:t>
      </w:r>
    </w:p>
    <w:p w14:paraId="25DB1A65">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xml:space="preserve">Главными вопросами повестки дня стали отчеты комитета Территориальной организации Профсоюза и контрольно-ревизионной комиссии за отчетный срок работы, выборы руководящих, коллегиальных исполнительных и контрольно-ревизионных органов городской организации на новый пятилетний срок. </w:t>
      </w:r>
    </w:p>
    <w:p w14:paraId="58E55731">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На заседаниях Комитета были рассмотрены следующие вопросы:</w:t>
      </w:r>
    </w:p>
    <w:p w14:paraId="6790F44D">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итогах работы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за 2024 год и задачах на 2025 год;</w:t>
      </w:r>
    </w:p>
    <w:p w14:paraId="24EF137B">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исполнении сметы доходов и расходов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за 2024 год;</w:t>
      </w:r>
    </w:p>
    <w:p w14:paraId="19940E4D">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утверждении сметы доходов и расходов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на 2025 год;</w:t>
      </w:r>
    </w:p>
    <w:p w14:paraId="0A0B9FDB">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выполнении Соглашения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между Управлением образования - администрации городского округа Город Волжский Волгоградской области на 2022 -2024 годы;</w:t>
      </w:r>
    </w:p>
    <w:p w14:paraId="7C8C5725">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распределении членских профсоюзных взносов;</w:t>
      </w:r>
    </w:p>
    <w:p w14:paraId="09B79711">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проведении Года защитника Отечества.</w:t>
      </w:r>
    </w:p>
    <w:p w14:paraId="2D96AEDD">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В 2024 году было проведено 10 заседаний Президиума городской организации, на которых рассматривались следующие вопросы:</w:t>
      </w:r>
    </w:p>
    <w:p w14:paraId="02BFC586">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утверждении отчетов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за 2024 год;</w:t>
      </w:r>
    </w:p>
    <w:p w14:paraId="555F5460">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утверждении годового плана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на 2024;</w:t>
      </w:r>
    </w:p>
    <w:p w14:paraId="062C8DF8">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итогах участия профсоюзных организаций в работе комиссий  по приемке образовательных учреждений;</w:t>
      </w:r>
    </w:p>
    <w:p w14:paraId="5D0B02F0">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работе профсоюзных организаций в проекте Профсоюза «Цифровизация» Общероссийского профсоюза образования;</w:t>
      </w:r>
    </w:p>
    <w:p w14:paraId="4382EE29">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работе профсоюзных организаций по созданию условий для дополнительной социальной поддержки членов профсоюза посредством предоставления скидок (бонусов и привилегий), участие в реализации Проекта «Дисконтная карта»;</w:t>
      </w:r>
    </w:p>
    <w:p w14:paraId="5013318F">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работе профсоюзных организаций по мотивации профсоюзного членства (МДОУ д/с №112 «Почемучки», МДОУ д/с №4 «Галактика», МДОУ д/с №62 «Ласточка»);</w:t>
      </w:r>
    </w:p>
    <w:p w14:paraId="7C6A709C">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подписке на профсоюзные издания;</w:t>
      </w:r>
    </w:p>
    <w:p w14:paraId="6762887F">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участии в мероприятиях 1-Мая;</w:t>
      </w:r>
    </w:p>
    <w:p w14:paraId="6A893BBA">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итогах проведения декады «Охраны труда 2024»;</w:t>
      </w:r>
    </w:p>
    <w:p w14:paraId="27EF5A76">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 поддержке мобилизованных членов Профсоюза и их семей;</w:t>
      </w:r>
    </w:p>
    <w:p w14:paraId="09BAEF63">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об участии во Всероссийской акции профсоюзов в рамках Всемирного дня действий «За достойны труд!».</w:t>
      </w:r>
    </w:p>
    <w:p w14:paraId="55CEEA93">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b w:val="0"/>
          <w:bCs/>
          <w:color w:val="auto"/>
          <w:sz w:val="24"/>
          <w:szCs w:val="24"/>
          <w:lang w:val="en-US" w:eastAsia="ru-RU"/>
        </w:rPr>
      </w:pPr>
    </w:p>
    <w:p w14:paraId="521B1F0B">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center"/>
        <w:textAlignment w:val="auto"/>
        <w:rPr>
          <w:rFonts w:hint="default" w:ascii="Times New Roman" w:hAnsi="Times New Roman"/>
          <w:b/>
          <w:bCs w:val="0"/>
          <w:color w:val="auto"/>
          <w:sz w:val="24"/>
          <w:szCs w:val="24"/>
          <w:lang w:val="en-US" w:eastAsia="ru-RU"/>
        </w:rPr>
      </w:pPr>
      <w:r>
        <w:rPr>
          <w:rFonts w:hint="default" w:ascii="Times New Roman" w:hAnsi="Times New Roman"/>
          <w:b/>
          <w:bCs w:val="0"/>
          <w:color w:val="auto"/>
          <w:sz w:val="24"/>
          <w:szCs w:val="24"/>
          <w:lang w:val="en-US" w:eastAsia="ru-RU"/>
        </w:rPr>
        <w:t>Обучение профсоюзного актива</w:t>
      </w:r>
    </w:p>
    <w:p w14:paraId="3C8B8AB1">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center"/>
        <w:textAlignment w:val="auto"/>
        <w:rPr>
          <w:rFonts w:hint="default" w:ascii="Times New Roman" w:hAnsi="Times New Roman"/>
          <w:b/>
          <w:bCs w:val="0"/>
          <w:color w:val="auto"/>
          <w:sz w:val="24"/>
          <w:szCs w:val="24"/>
          <w:lang w:val="en-US" w:eastAsia="ru-RU"/>
        </w:rPr>
      </w:pPr>
    </w:p>
    <w:p w14:paraId="1398C5B1">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В целях повышения эффективности профсоюзной работы были организованы и проведены семинары впервые избранных председателей первичных профсоюзных организаций образовательных учреждений по изучению Устава Общероссийского профсоюза образования, Трудового Кодекса РФ, Закона «Об образовании в Российской Федерации», делопроизводства.</w:t>
      </w:r>
    </w:p>
    <w:p w14:paraId="0ABE4774">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Были организованы встречи с администрациями учреждений в МДОУ д/с №1 «Радость», МДОУ д/с №54 «Берёзка» по вопросу взаимодействия с первичными профсоюзными организациями.</w:t>
      </w:r>
    </w:p>
    <w:p w14:paraId="5F17EC03">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На совещании рассматривался вопрос об участии в программах:</w:t>
      </w:r>
    </w:p>
    <w:p w14:paraId="72745871">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программа «Здоровый член профсоюза - здоровый коллектив - здоровая область»;</w:t>
      </w:r>
    </w:p>
    <w:p w14:paraId="0BEE71DA">
      <w:pPr>
        <w:keepNext w:val="0"/>
        <w:keepLines w:val="0"/>
        <w:pageBreakBefore w:val="0"/>
        <w:widowControl/>
        <w:kinsoku/>
        <w:wordWrap/>
        <w:overflowPunct/>
        <w:topLinePunct w:val="0"/>
        <w:autoSpaceDE/>
        <w:autoSpaceDN/>
        <w:bidi w:val="0"/>
        <w:adjustRightInd/>
        <w:snapToGrid/>
        <w:spacing w:after="0" w:line="240" w:lineRule="auto"/>
        <w:ind w:firstLine="360" w:firstLineChars="150"/>
        <w:jc w:val="both"/>
        <w:textAlignment w:val="auto"/>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программа «Стопроцентный профсоюз» Волгорадской областной организации профсоюза;</w:t>
      </w:r>
    </w:p>
    <w:p w14:paraId="4CEC6F95">
      <w:pPr>
        <w:keepNext w:val="0"/>
        <w:keepLines w:val="0"/>
        <w:pageBreakBefore w:val="0"/>
        <w:widowControl/>
        <w:kinsoku/>
        <w:wordWrap/>
        <w:overflowPunct/>
        <w:topLinePunct w:val="0"/>
        <w:autoSpaceDE/>
        <w:autoSpaceDN/>
        <w:bidi w:val="0"/>
        <w:adjustRightInd/>
        <w:snapToGrid/>
        <w:spacing w:after="0" w:line="240" w:lineRule="auto"/>
        <w:ind w:firstLine="480" w:firstLineChars="200"/>
        <w:jc w:val="both"/>
        <w:textAlignment w:val="auto"/>
        <w:rPr>
          <w:rFonts w:hint="default" w:ascii="Times New Roman" w:hAnsi="Times New Roman"/>
          <w:b/>
          <w:bCs w:val="0"/>
          <w:color w:val="auto"/>
          <w:sz w:val="24"/>
          <w:szCs w:val="24"/>
          <w:lang w:val="en-US" w:eastAsia="ru-RU"/>
        </w:rPr>
      </w:pPr>
      <w:r>
        <w:rPr>
          <w:rFonts w:hint="default" w:ascii="Times New Roman" w:hAnsi="Times New Roman"/>
          <w:b w:val="0"/>
          <w:bCs/>
          <w:color w:val="auto"/>
          <w:sz w:val="24"/>
          <w:szCs w:val="24"/>
          <w:lang w:val="en-US" w:eastAsia="ru-RU"/>
        </w:rPr>
        <w:t xml:space="preserve">- </w:t>
      </w:r>
    </w:p>
    <w:p w14:paraId="6D092767">
      <w:pPr>
        <w:spacing w:after="0" w:line="360" w:lineRule="auto"/>
        <w:ind w:firstLine="851"/>
        <w:jc w:val="center"/>
        <w:rPr>
          <w:rFonts w:ascii="Times New Roman" w:hAnsi="Times New Roman"/>
          <w:b/>
          <w:bCs w:val="0"/>
          <w:color w:val="auto"/>
          <w:sz w:val="24"/>
          <w:szCs w:val="24"/>
          <w:lang w:eastAsia="ru-RU"/>
        </w:rPr>
      </w:pPr>
      <w:r>
        <w:rPr>
          <w:rFonts w:ascii="Times New Roman" w:hAnsi="Times New Roman"/>
          <w:b/>
          <w:bCs w:val="0"/>
          <w:color w:val="auto"/>
          <w:sz w:val="24"/>
          <w:szCs w:val="24"/>
          <w:lang w:eastAsia="ru-RU"/>
        </w:rPr>
        <w:t>О социальном</w:t>
      </w:r>
      <w:r>
        <w:rPr>
          <w:rFonts w:hint="default" w:ascii="Times New Roman" w:hAnsi="Times New Roman"/>
          <w:b/>
          <w:bCs w:val="0"/>
          <w:color w:val="auto"/>
          <w:sz w:val="24"/>
          <w:szCs w:val="24"/>
          <w:lang w:val="en-US" w:eastAsia="ru-RU"/>
        </w:rPr>
        <w:t xml:space="preserve"> партнёрстве</w:t>
      </w:r>
    </w:p>
    <w:p w14:paraId="14C93F5D">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Одним их приоритетных направлений деятельности Территориальной организации Общероссийского</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профсоюза работников образования</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города</w:t>
      </w:r>
      <w:r>
        <w:rPr>
          <w:rFonts w:hint="default" w:ascii="Times New Roman" w:hAnsi="Times New Roman"/>
          <w:b w:val="0"/>
          <w:bCs/>
          <w:color w:val="auto"/>
          <w:sz w:val="24"/>
          <w:szCs w:val="24"/>
          <w:lang w:val="en-US" w:eastAsia="ru-RU"/>
        </w:rPr>
        <w:t xml:space="preserve"> Волжского </w:t>
      </w:r>
      <w:r>
        <w:rPr>
          <w:rFonts w:ascii="Times New Roman" w:hAnsi="Times New Roman"/>
          <w:b w:val="0"/>
          <w:bCs/>
          <w:color w:val="auto"/>
          <w:sz w:val="24"/>
          <w:szCs w:val="24"/>
          <w:lang w:eastAsia="ru-RU"/>
        </w:rPr>
        <w:t xml:space="preserve"> Волгоградской</w:t>
      </w:r>
      <w:r>
        <w:rPr>
          <w:rFonts w:hint="default" w:ascii="Times New Roman" w:hAnsi="Times New Roman"/>
          <w:b w:val="0"/>
          <w:bCs/>
          <w:color w:val="auto"/>
          <w:sz w:val="24"/>
          <w:szCs w:val="24"/>
          <w:lang w:val="en-US" w:eastAsia="ru-RU"/>
        </w:rPr>
        <w:t xml:space="preserve"> области является развитие социального партнерства.</w:t>
      </w:r>
    </w:p>
    <w:p w14:paraId="4CAF018B">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В</w:t>
      </w:r>
      <w:r>
        <w:rPr>
          <w:rFonts w:hint="default" w:ascii="Times New Roman" w:hAnsi="Times New Roman"/>
          <w:b w:val="0"/>
          <w:bCs/>
          <w:color w:val="auto"/>
          <w:sz w:val="24"/>
          <w:szCs w:val="24"/>
          <w:lang w:val="en-US" w:eastAsia="ru-RU"/>
        </w:rPr>
        <w:t xml:space="preserve"> 2024 году на территории города Волжского действовало Соглашение между Управлением образования администрации городского округа - город Волжский Волгоградской области и Территориальной организацией Профессионального союза работников образования и науки города Волжского Волгоградской области, 78 коллективных договоров в образовательных учреждениях.</w:t>
      </w:r>
    </w:p>
    <w:p w14:paraId="640BED81">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Охват коллективными договорами составляет 100%.</w:t>
      </w:r>
    </w:p>
    <w:p w14:paraId="4F98C81D">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В отчетный период в</w:t>
      </w:r>
      <w:r>
        <w:rPr>
          <w:rFonts w:hint="default" w:ascii="Times New Roman" w:hAnsi="Times New Roman"/>
          <w:b w:val="0"/>
          <w:bCs/>
          <w:color w:val="auto"/>
          <w:sz w:val="24"/>
          <w:szCs w:val="24"/>
          <w:lang w:val="en-US" w:eastAsia="ru-RU"/>
        </w:rPr>
        <w:t xml:space="preserve"> соответствии и с Соглашением были организованы и проведены совместные мероприятия:</w:t>
      </w:r>
    </w:p>
    <w:p w14:paraId="7B3AEB33">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Городской этап конкурса</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профессионального педагогического мастерства классных руководителей общеобразовательных учреждений города</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«Самый классный классный!»,</w:t>
      </w:r>
    </w:p>
    <w:p w14:paraId="030D3371">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 Организованно</w:t>
      </w:r>
      <w:r>
        <w:rPr>
          <w:rFonts w:hint="default" w:ascii="Times New Roman" w:hAnsi="Times New Roman"/>
          <w:b w:val="0"/>
          <w:bCs/>
          <w:color w:val="auto"/>
          <w:sz w:val="24"/>
          <w:szCs w:val="24"/>
          <w:lang w:val="en-US" w:eastAsia="ru-RU"/>
        </w:rPr>
        <w:t xml:space="preserve"> участие педагогических работников в профсоюзных конкурсах областного уровня;</w:t>
      </w:r>
    </w:p>
    <w:p w14:paraId="7D76CE9D">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 Организованы совместные</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проверки по охране труда в</w:t>
      </w:r>
      <w:r>
        <w:rPr>
          <w:rFonts w:hint="default" w:ascii="Times New Roman" w:hAnsi="Times New Roman"/>
          <w:b w:val="0"/>
          <w:bCs/>
          <w:color w:val="auto"/>
          <w:sz w:val="24"/>
          <w:szCs w:val="24"/>
          <w:lang w:val="en-US" w:eastAsia="ru-RU"/>
        </w:rPr>
        <w:t xml:space="preserve"> образовательных учреждениях;</w:t>
      </w:r>
    </w:p>
    <w:p w14:paraId="4A3657D9">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Проведён «Месячник по охране труда - 2024»;</w:t>
      </w:r>
    </w:p>
    <w:p w14:paraId="14C785B1">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На основании  «Положения об оплате труда работников образовательных учреждений, подведомственных Управлению образования администрации городского округа - город Волжский Волгоградской области» установленны дополнительны льготы:</w:t>
      </w:r>
    </w:p>
    <w:p w14:paraId="79C153E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установление дополнительных выплат молодым специалистам, студентам, заключившим трудовой договор;</w:t>
      </w:r>
    </w:p>
    <w:p w14:paraId="16EFDE2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xml:space="preserve">- ежемесячная доплата наставникам молодых специалистов; </w:t>
      </w:r>
    </w:p>
    <w:p w14:paraId="3D9CF85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установление доплат за ученую степень работникам образовательных организаций общего, дополнительного образования детей;</w:t>
      </w:r>
    </w:p>
    <w:p w14:paraId="0EECCBCB">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xml:space="preserve">- сохранение места работы (должности) и средней заработной платы педагогическим работникам образовательных учреждений, участвующим в проведении ЕГЭ в рабочее время; </w:t>
      </w:r>
    </w:p>
    <w:p w14:paraId="1F3B9756">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сохранение постоянной повышающей надбавки к окладу до принятия аттестационной комиссией решения об установлении (отказе в установлении) квалификационной категории;</w:t>
      </w:r>
    </w:p>
    <w:p w14:paraId="4B844D9B">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недопущение принуждения работника к сдаче различного типа письменных тестов, зачетов и экзаменов с целью проверки уровня его компетентности;</w:t>
      </w:r>
    </w:p>
    <w:p w14:paraId="76325D06">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выплаты при увольнении работника по собственному желанию в связи с выходом на пенсию по старости впервые</w:t>
      </w:r>
      <w:r>
        <w:rPr>
          <w:rFonts w:hint="default" w:ascii="Times New Roman" w:hAnsi="Times New Roman"/>
          <w:b w:val="0"/>
          <w:bCs/>
          <w:color w:val="auto"/>
          <w:sz w:val="24"/>
          <w:szCs w:val="24"/>
          <w:lang w:val="en-US" w:eastAsia="ru-RU"/>
        </w:rPr>
        <w:t xml:space="preserve"> (при наличии бюджета)</w:t>
      </w:r>
      <w:r>
        <w:rPr>
          <w:rFonts w:ascii="Times New Roman" w:hAnsi="Times New Roman"/>
          <w:b w:val="0"/>
          <w:bCs/>
          <w:color w:val="auto"/>
          <w:sz w:val="24"/>
          <w:szCs w:val="24"/>
          <w:lang w:eastAsia="ru-RU"/>
        </w:rPr>
        <w:t xml:space="preserve">; </w:t>
      </w:r>
    </w:p>
    <w:p w14:paraId="650006C7">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предоставление детям работников образовательных организаций скидки на дополнительные платные образовательные услуги в данной образовательной организации в размере, закрепленном коллективным договором;</w:t>
      </w:r>
    </w:p>
    <w:p w14:paraId="6452B353">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предоставление работникам дополнительного оплачиваемого отпуска:</w:t>
      </w:r>
    </w:p>
    <w:p w14:paraId="40399700">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вступления работника в брак – два календарных дня;</w:t>
      </w:r>
    </w:p>
    <w:p w14:paraId="7B79D076">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вступления в брак детей – два календарных дня;</w:t>
      </w:r>
    </w:p>
    <w:p w14:paraId="3192E42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рождения ребенка (мужу) – два календарных дня;</w:t>
      </w:r>
    </w:p>
    <w:p w14:paraId="487BDE5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смерти близких родственников (супругов, родителей, детей, дедушки, бабушки, внуков) – два календарных дня;</w:t>
      </w:r>
    </w:p>
    <w:p w14:paraId="3D3DEBC7">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провода детей в армию – два календарных дня;</w:t>
      </w:r>
    </w:p>
    <w:p w14:paraId="5156898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родителям, женам (мужьям) военнослужащих, погибших или умерших вследствие ранения, контузии, увечья, полученных ими при исполнении обязанностей военной службы, либо вследствие заболевания, связанного с прохождением военной службы – два календарных дня;</w:t>
      </w:r>
    </w:p>
    <w:p w14:paraId="236742FF">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неосвобожденному председателю первичной профсоюзной организации (выборного профсоюзного органа) – два календарных дня;</w:t>
      </w:r>
    </w:p>
    <w:p w14:paraId="46C01AB3">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работникам, выполняющим дополнительную работу, не закрепленную трудовым договором, в должности председателя профсоюзного комитета, производить ежемесячную доплату;</w:t>
      </w:r>
    </w:p>
    <w:p w14:paraId="40C4FC3A">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статус молодого специалиста сохраняется за педагогическим работником в течение трех лет с момента его приема в образовательную организацию на педагогическую должность. Время его нахождения в отпуске по беременности и родам и по уходу за ребенком до достижения им возраста трех лет в этот период не включается;</w:t>
      </w:r>
    </w:p>
    <w:p w14:paraId="0FED24B2">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деление классов (групп) на подгруппы);</w:t>
      </w:r>
    </w:p>
    <w:p w14:paraId="37DA7706">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осуществление образовательной деятельности в классах (группах), в состав которых входит обучающийся (обучающиеся) с ограниченными возможностями здоровья;</w:t>
      </w:r>
    </w:p>
    <w:p w14:paraId="52EEA7B4">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предоставление дополнительного оплачиваемого отпуска для сопровождения в школу детей младшего школьного возраста в первый день учебного года – один календарный день;</w:t>
      </w:r>
    </w:p>
    <w:p w14:paraId="3B2546B1">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молодым специалистам для самообразования – один</w:t>
      </w:r>
      <w:r>
        <w:rPr>
          <w:rFonts w:hint="default" w:ascii="Times New Roman" w:hAnsi="Times New Roman"/>
          <w:b w:val="0"/>
          <w:bCs/>
          <w:color w:val="auto"/>
          <w:sz w:val="24"/>
          <w:szCs w:val="24"/>
          <w:lang w:val="en-US" w:eastAsia="ru-RU"/>
        </w:rPr>
        <w:t xml:space="preserve"> методический день в неделю</w:t>
      </w:r>
      <w:r>
        <w:rPr>
          <w:rFonts w:ascii="Times New Roman" w:hAnsi="Times New Roman"/>
          <w:b w:val="0"/>
          <w:bCs/>
          <w:color w:val="auto"/>
          <w:sz w:val="24"/>
          <w:szCs w:val="24"/>
          <w:lang w:eastAsia="ru-RU"/>
        </w:rPr>
        <w:t>;</w:t>
      </w:r>
    </w:p>
    <w:p w14:paraId="4574EE0B">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сохранение  стимулирующей выплаты за квалификационную категорию при выполнении педагогической работы на разных должностях, по которым совпадают должностные обязанности, учебные программы, профили работы, расширено на случай, когда должность, по которой установлена квалификационная категория – учитель, преподаватель, педагог- организатор, а должность, по которой может учитываться квалификационная категория – советник директора по воспитанию и взаимодействию с детскими общественными объединениями;</w:t>
      </w:r>
    </w:p>
    <w:p w14:paraId="347A47F3">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при аттестации  педагогического работника по должности «преподаватель-организатор основ безопасности и защиты Родины»  учитывается информация о результатах профессиональной деятельности по должности «преподаватель-организатор основ безопасности  жизнедеятельности.</w:t>
      </w:r>
    </w:p>
    <w:p w14:paraId="234F61BA">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Участие в профсоюзных конкурсах областного уровня</w:t>
      </w:r>
      <w:r>
        <w:rPr>
          <w:rFonts w:hint="default" w:ascii="Times New Roman" w:hAnsi="Times New Roman"/>
          <w:b w:val="0"/>
          <w:bCs/>
          <w:color w:val="auto"/>
          <w:sz w:val="24"/>
          <w:szCs w:val="24"/>
          <w:lang w:val="en-US" w:eastAsia="ru-RU"/>
        </w:rPr>
        <w:t>;</w:t>
      </w:r>
    </w:p>
    <w:p w14:paraId="1410EFC2">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 Конкурс уголков по ОТ в образовательных</w:t>
      </w:r>
      <w:r>
        <w:rPr>
          <w:rFonts w:hint="default" w:ascii="Times New Roman" w:hAnsi="Times New Roman"/>
          <w:b w:val="0"/>
          <w:bCs/>
          <w:color w:val="auto"/>
          <w:sz w:val="24"/>
          <w:szCs w:val="24"/>
          <w:lang w:val="en-US" w:eastAsia="ru-RU"/>
        </w:rPr>
        <w:t xml:space="preserve"> учреждениях города </w:t>
      </w:r>
    </w:p>
    <w:p w14:paraId="0E2BF95A">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конкурс агитбригад «Волжский</w:t>
      </w:r>
      <w:r>
        <w:rPr>
          <w:rFonts w:hint="default" w:ascii="Times New Roman" w:hAnsi="Times New Roman"/>
          <w:b w:val="0"/>
          <w:bCs/>
          <w:color w:val="auto"/>
          <w:sz w:val="24"/>
          <w:szCs w:val="24"/>
          <w:lang w:val="en-US" w:eastAsia="ru-RU"/>
        </w:rPr>
        <w:t xml:space="preserve"> - город моей судьбы</w:t>
      </w:r>
      <w:r>
        <w:rPr>
          <w:rFonts w:ascii="Times New Roman" w:hAnsi="Times New Roman"/>
          <w:b w:val="0"/>
          <w:bCs/>
          <w:color w:val="auto"/>
          <w:sz w:val="24"/>
          <w:szCs w:val="24"/>
          <w:lang w:eastAsia="ru-RU"/>
        </w:rPr>
        <w:t>».</w:t>
      </w:r>
    </w:p>
    <w:p w14:paraId="71A621D5">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В соответствии с</w:t>
      </w:r>
      <w:r>
        <w:rPr>
          <w:rFonts w:hint="default" w:ascii="Times New Roman" w:hAnsi="Times New Roman"/>
          <w:b w:val="0"/>
          <w:bCs/>
          <w:color w:val="auto"/>
          <w:sz w:val="24"/>
          <w:szCs w:val="24"/>
          <w:lang w:val="en-US" w:eastAsia="ru-RU"/>
        </w:rPr>
        <w:t xml:space="preserve"> С</w:t>
      </w:r>
      <w:r>
        <w:rPr>
          <w:rFonts w:ascii="Times New Roman" w:hAnsi="Times New Roman"/>
          <w:b w:val="0"/>
          <w:bCs/>
          <w:color w:val="auto"/>
          <w:sz w:val="24"/>
          <w:szCs w:val="24"/>
          <w:lang w:eastAsia="ru-RU"/>
        </w:rPr>
        <w:t>оглашением</w:t>
      </w:r>
      <w:r>
        <w:rPr>
          <w:rFonts w:hint="default" w:ascii="Times New Roman" w:hAnsi="Times New Roman"/>
          <w:b w:val="0"/>
          <w:bCs/>
          <w:color w:val="auto"/>
          <w:sz w:val="24"/>
          <w:szCs w:val="24"/>
          <w:lang w:val="en-US" w:eastAsia="ru-RU"/>
        </w:rPr>
        <w:t>, в</w:t>
      </w:r>
      <w:r>
        <w:rPr>
          <w:rFonts w:ascii="Times New Roman" w:hAnsi="Times New Roman"/>
          <w:b w:val="0"/>
          <w:bCs/>
          <w:color w:val="auto"/>
          <w:sz w:val="24"/>
          <w:szCs w:val="24"/>
          <w:lang w:eastAsia="ru-RU"/>
        </w:rPr>
        <w:t xml:space="preserve"> целях развития социального партнёрства</w:t>
      </w:r>
      <w:r>
        <w:rPr>
          <w:rFonts w:hint="default" w:ascii="Times New Roman" w:hAnsi="Times New Roman"/>
          <w:b w:val="0"/>
          <w:bCs/>
          <w:color w:val="auto"/>
          <w:sz w:val="24"/>
          <w:szCs w:val="24"/>
          <w:lang w:val="en-US" w:eastAsia="ru-RU"/>
        </w:rPr>
        <w:t>,</w:t>
      </w:r>
      <w:r>
        <w:rPr>
          <w:rFonts w:ascii="Times New Roman" w:hAnsi="Times New Roman"/>
          <w:b w:val="0"/>
          <w:bCs/>
          <w:color w:val="auto"/>
          <w:sz w:val="24"/>
          <w:szCs w:val="24"/>
          <w:lang w:eastAsia="ru-RU"/>
        </w:rPr>
        <w:t>председатель Территориальной</w:t>
      </w:r>
      <w:r>
        <w:rPr>
          <w:rFonts w:hint="default" w:ascii="Times New Roman" w:hAnsi="Times New Roman"/>
          <w:b w:val="0"/>
          <w:bCs/>
          <w:color w:val="auto"/>
          <w:sz w:val="24"/>
          <w:szCs w:val="24"/>
          <w:lang w:val="en-US" w:eastAsia="ru-RU"/>
        </w:rPr>
        <w:t xml:space="preserve"> организации</w:t>
      </w:r>
      <w:r>
        <w:rPr>
          <w:rFonts w:ascii="Times New Roman" w:hAnsi="Times New Roman"/>
          <w:b w:val="0"/>
          <w:bCs/>
          <w:color w:val="auto"/>
          <w:sz w:val="24"/>
          <w:szCs w:val="24"/>
          <w:lang w:eastAsia="ru-RU"/>
        </w:rPr>
        <w:t xml:space="preserve"> профсоюза</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входит в состав городских</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комиссий:</w:t>
      </w:r>
    </w:p>
    <w:p w14:paraId="49C1304A">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 комиссию по охране труда;</w:t>
      </w:r>
    </w:p>
    <w:p w14:paraId="46683443">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 комиссию по определению эффективности работы образовательных учреждений и руководителей</w:t>
      </w:r>
      <w:r>
        <w:rPr>
          <w:rFonts w:hint="default" w:ascii="Times New Roman" w:hAnsi="Times New Roman"/>
          <w:b w:val="0"/>
          <w:bCs/>
          <w:color w:val="auto"/>
          <w:sz w:val="24"/>
          <w:szCs w:val="24"/>
          <w:lang w:val="en-US" w:eastAsia="ru-RU"/>
        </w:rPr>
        <w:t>;</w:t>
      </w:r>
    </w:p>
    <w:p w14:paraId="087BE190">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комиссию по аттестации руководителей образовательных учреждений;</w:t>
      </w:r>
    </w:p>
    <w:p w14:paraId="1278D85A">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комиссию по приёмке образовательных учреждений к новому учебному году;</w:t>
      </w:r>
    </w:p>
    <w:p w14:paraId="1F3722B0">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комиссию по отбору кандидатур по награждению отраслевыми наградами;</w:t>
      </w:r>
    </w:p>
    <w:p w14:paraId="0B7C978D">
      <w:pPr>
        <w:keepNext w:val="0"/>
        <w:keepLines w:val="0"/>
        <w:pageBreakBefore w:val="0"/>
        <w:widowControl/>
        <w:kinsoku/>
        <w:wordWrap/>
        <w:overflowPunct/>
        <w:topLinePunct w:val="0"/>
        <w:autoSpaceDE/>
        <w:autoSpaceDN/>
        <w:bidi w:val="0"/>
        <w:adjustRightInd/>
        <w:snapToGrid/>
        <w:spacing w:after="0" w:line="240" w:lineRule="auto"/>
        <w:ind w:firstLine="850"/>
        <w:jc w:val="both"/>
        <w:textAlignment w:val="auto"/>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При</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 xml:space="preserve"> выполнении Соглашения и коллективных договоров в образовательных учреждениях учтены рекомендации областной</w:t>
      </w:r>
      <w:r>
        <w:rPr>
          <w:rFonts w:hint="default" w:ascii="Times New Roman" w:hAnsi="Times New Roman"/>
          <w:b w:val="0"/>
          <w:bCs/>
          <w:color w:val="auto"/>
          <w:sz w:val="24"/>
          <w:szCs w:val="24"/>
          <w:lang w:val="en-US" w:eastAsia="ru-RU"/>
        </w:rPr>
        <w:t xml:space="preserve"> организации     Профсоюза</w:t>
      </w:r>
      <w:r>
        <w:rPr>
          <w:rFonts w:ascii="Times New Roman" w:hAnsi="Times New Roman"/>
          <w:b w:val="0"/>
          <w:bCs/>
          <w:color w:val="auto"/>
          <w:sz w:val="24"/>
          <w:szCs w:val="24"/>
          <w:lang w:eastAsia="ru-RU"/>
        </w:rPr>
        <w:t xml:space="preserve"> по включению отдельных вопросов установления системы оплаты труда и заработной платы, прохождения педагогическими работниками аттестации на квалификационную категорию, содержанию трудового договора В Соглашениях и коллективных договорах значительное место</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отведено вопросам, касающимся охраны труда, защите социальных прав работников отрасли, соблюдению законных прав членов Профсоюза и профсоюзных органов.</w:t>
      </w:r>
    </w:p>
    <w:p w14:paraId="1EB251F2">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Работа профсоюзных организаций направлена на развитие социального партнерства, повышение эффективности реализации соглашения и коллективных договоров, решению вопросов трудовых отношений между работниками и работодателями, реализации мер социальной поддержки работников отрасли находятся под постоянным контролем Территориальной организации Профсоюза. В 2024 году на заседании президиума Территориальной организации Профсоюза рассматривался вопрос о совместной работе администраций образовательных учреждений и профсоюзных комитетов образовательных учреждений по выполнению коллективных договоров, развитию и совершенствованию социального партнерства в образовательных учреждениях.</w:t>
      </w:r>
    </w:p>
    <w:p w14:paraId="147DD4C8">
      <w:pPr>
        <w:spacing w:after="0" w:line="240" w:lineRule="auto"/>
        <w:ind w:firstLine="851"/>
        <w:jc w:val="both"/>
        <w:rPr>
          <w:rFonts w:ascii="Times New Roman" w:hAnsi="Times New Roman"/>
          <w:b w:val="0"/>
          <w:bCs/>
          <w:color w:val="auto"/>
          <w:sz w:val="24"/>
          <w:szCs w:val="24"/>
          <w:lang w:eastAsia="ru-RU"/>
        </w:rPr>
      </w:pPr>
      <w:r>
        <w:rPr>
          <w:rFonts w:ascii="Times New Roman" w:hAnsi="Times New Roman"/>
          <w:b w:val="0"/>
          <w:bCs/>
          <w:color w:val="auto"/>
          <w:sz w:val="24"/>
          <w:szCs w:val="24"/>
          <w:lang w:eastAsia="ru-RU"/>
        </w:rPr>
        <w:t>Итоги выполнения коллективного договора подводятся ежегодно в</w:t>
      </w:r>
      <w:r>
        <w:rPr>
          <w:rFonts w:hint="default" w:ascii="Times New Roman" w:hAnsi="Times New Roman"/>
          <w:b w:val="0"/>
          <w:bCs/>
          <w:color w:val="auto"/>
          <w:sz w:val="24"/>
          <w:szCs w:val="24"/>
          <w:lang w:val="en-US" w:eastAsia="ru-RU"/>
        </w:rPr>
        <w:t xml:space="preserve"> </w:t>
      </w:r>
      <w:r>
        <w:rPr>
          <w:rFonts w:ascii="Times New Roman" w:hAnsi="Times New Roman"/>
          <w:b w:val="0"/>
          <w:bCs/>
          <w:color w:val="auto"/>
          <w:sz w:val="24"/>
          <w:szCs w:val="24"/>
          <w:lang w:eastAsia="ru-RU"/>
        </w:rPr>
        <w:t>образовательных учреждениях на общих собраниях трудового коллектива, где две стороны социального партнерства подводят итоги совместной работы и определяют планы на будущее.</w:t>
      </w:r>
    </w:p>
    <w:p w14:paraId="251C3783">
      <w:pPr>
        <w:spacing w:after="0" w:line="240" w:lineRule="auto"/>
        <w:ind w:firstLine="851"/>
        <w:jc w:val="both"/>
        <w:rPr>
          <w:rFonts w:hint="default" w:ascii="Times New Roman" w:hAnsi="Times New Roman"/>
          <w:b w:val="0"/>
          <w:bCs/>
          <w:color w:val="auto"/>
          <w:sz w:val="24"/>
          <w:szCs w:val="24"/>
          <w:lang w:val="en-US" w:eastAsia="ru-RU"/>
        </w:rPr>
      </w:pPr>
      <w:r>
        <w:rPr>
          <w:rFonts w:ascii="Times New Roman" w:hAnsi="Times New Roman"/>
          <w:b w:val="0"/>
          <w:bCs/>
          <w:color w:val="auto"/>
          <w:sz w:val="24"/>
          <w:szCs w:val="24"/>
          <w:lang w:eastAsia="ru-RU"/>
        </w:rPr>
        <w:t>В</w:t>
      </w:r>
      <w:r>
        <w:rPr>
          <w:rFonts w:hint="default" w:ascii="Times New Roman" w:hAnsi="Times New Roman"/>
          <w:b w:val="0"/>
          <w:bCs/>
          <w:color w:val="auto"/>
          <w:sz w:val="24"/>
          <w:szCs w:val="24"/>
          <w:lang w:val="en-US" w:eastAsia="ru-RU"/>
        </w:rPr>
        <w:t xml:space="preserve"> рамках процедуры согласования «Примерного  положения об оплате труда работников образовательных учреждений, подведомственных управлению образования - администрации городского округа город Волжский Волгоградской области» были учтены следующие предложения городской организации:</w:t>
      </w:r>
    </w:p>
    <w:p w14:paraId="41ADBC98">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увеличены оклады по ПКГ на - 5,0 тыс. руб.;</w:t>
      </w:r>
    </w:p>
    <w:p w14:paraId="103265EC">
      <w:pPr>
        <w:spacing w:after="0" w:line="240" w:lineRule="auto"/>
        <w:ind w:firstLine="851"/>
        <w:jc w:val="both"/>
        <w:rPr>
          <w:rFonts w:hint="default" w:ascii="Times New Roman" w:hAnsi="Times New Roman"/>
          <w:b w:val="0"/>
          <w:bCs/>
          <w:color w:val="auto"/>
          <w:sz w:val="24"/>
          <w:szCs w:val="24"/>
          <w:lang w:val="en-US" w:eastAsia="ru-RU"/>
        </w:rPr>
      </w:pPr>
      <w:r>
        <w:rPr>
          <w:rFonts w:hint="default" w:ascii="Times New Roman" w:hAnsi="Times New Roman"/>
          <w:b w:val="0"/>
          <w:bCs/>
          <w:color w:val="auto"/>
          <w:sz w:val="24"/>
          <w:szCs w:val="24"/>
          <w:lang w:val="en-US" w:eastAsia="ru-RU"/>
        </w:rPr>
        <w:t xml:space="preserve">В рамках переговоров рассматривается возможность повышения окладов педагогических работников, что позволит улучшить их материальное положение и повысить привлекательность профессии. </w:t>
      </w:r>
    </w:p>
    <w:p w14:paraId="0CB58950">
      <w:pPr>
        <w:spacing w:after="0" w:line="240" w:lineRule="auto"/>
        <w:ind w:firstLine="851"/>
        <w:jc w:val="both"/>
        <w:rPr>
          <w:rFonts w:ascii="Times New Roman" w:hAnsi="Times New Roman"/>
          <w:b w:val="0"/>
          <w:bCs/>
          <w:color w:val="auto"/>
          <w:sz w:val="24"/>
          <w:szCs w:val="24"/>
          <w:lang w:eastAsia="ru-RU"/>
        </w:rPr>
      </w:pPr>
    </w:p>
    <w:p w14:paraId="520229BB">
      <w:pPr>
        <w:spacing w:after="0" w:line="240" w:lineRule="auto"/>
        <w:ind w:firstLine="851"/>
        <w:jc w:val="center"/>
        <w:rPr>
          <w:rFonts w:ascii="Times New Roman" w:hAnsi="Times New Roman"/>
          <w:b/>
          <w:color w:val="auto"/>
          <w:sz w:val="24"/>
          <w:szCs w:val="24"/>
        </w:rPr>
      </w:pPr>
      <w:r>
        <w:rPr>
          <w:rFonts w:ascii="Times New Roman" w:hAnsi="Times New Roman"/>
          <w:b/>
          <w:color w:val="auto"/>
          <w:sz w:val="24"/>
          <w:szCs w:val="24"/>
        </w:rPr>
        <w:t>Правозащитная работа</w:t>
      </w:r>
    </w:p>
    <w:p w14:paraId="518ADA1E">
      <w:pPr>
        <w:spacing w:after="0" w:line="240" w:lineRule="auto"/>
        <w:ind w:firstLine="851"/>
        <w:jc w:val="center"/>
        <w:rPr>
          <w:rFonts w:ascii="Times New Roman" w:hAnsi="Times New Roman"/>
          <w:b/>
          <w:color w:val="auto"/>
          <w:sz w:val="24"/>
          <w:szCs w:val="24"/>
        </w:rPr>
      </w:pPr>
    </w:p>
    <w:p w14:paraId="625C51D4">
      <w:pPr>
        <w:spacing w:after="0" w:line="240" w:lineRule="auto"/>
        <w:ind w:firstLine="851"/>
        <w:jc w:val="both"/>
        <w:rPr>
          <w:rFonts w:hint="default" w:ascii="Times New Roman" w:hAnsi="Times New Roman"/>
          <w:color w:val="auto"/>
          <w:sz w:val="24"/>
          <w:szCs w:val="24"/>
          <w:lang w:val="ru-RU"/>
        </w:rPr>
      </w:pPr>
      <w:r>
        <w:rPr>
          <w:rFonts w:ascii="Times New Roman" w:hAnsi="Times New Roman"/>
          <w:color w:val="auto"/>
          <w:sz w:val="24"/>
          <w:szCs w:val="24"/>
        </w:rPr>
        <w:t xml:space="preserve">Правозащитная работа </w:t>
      </w:r>
      <w:r>
        <w:rPr>
          <w:rFonts w:ascii="Times New Roman" w:hAnsi="Times New Roman"/>
          <w:color w:val="auto"/>
          <w:sz w:val="24"/>
          <w:szCs w:val="24"/>
          <w:lang w:val="ru-RU"/>
        </w:rPr>
        <w:t>Территориальной</w:t>
      </w:r>
      <w:r>
        <w:rPr>
          <w:rFonts w:hint="default" w:ascii="Times New Roman" w:hAnsi="Times New Roman"/>
          <w:color w:val="auto"/>
          <w:sz w:val="24"/>
          <w:szCs w:val="24"/>
          <w:lang w:val="ru-RU"/>
        </w:rPr>
        <w:t xml:space="preserve"> </w:t>
      </w:r>
      <w:r>
        <w:rPr>
          <w:rFonts w:ascii="Times New Roman" w:hAnsi="Times New Roman"/>
          <w:color w:val="auto"/>
          <w:sz w:val="24"/>
          <w:szCs w:val="24"/>
        </w:rPr>
        <w:t xml:space="preserve"> организации Профсоюза в 2024 году осуществлялась </w:t>
      </w:r>
      <w:r>
        <w:rPr>
          <w:rFonts w:ascii="Times New Roman" w:hAnsi="Times New Roman"/>
          <w:color w:val="auto"/>
          <w:sz w:val="24"/>
          <w:szCs w:val="24"/>
          <w:lang w:val="ru-RU"/>
        </w:rPr>
        <w:t>вне</w:t>
      </w:r>
      <w:r>
        <w:rPr>
          <w:rFonts w:ascii="Times New Roman" w:hAnsi="Times New Roman"/>
          <w:color w:val="auto"/>
          <w:sz w:val="24"/>
          <w:szCs w:val="24"/>
        </w:rPr>
        <w:t xml:space="preserve">штатным </w:t>
      </w:r>
      <w:r>
        <w:rPr>
          <w:rFonts w:ascii="Times New Roman" w:hAnsi="Times New Roman"/>
          <w:color w:val="auto"/>
          <w:sz w:val="24"/>
          <w:szCs w:val="24"/>
          <w:lang w:val="ru-RU"/>
        </w:rPr>
        <w:t>правовым</w:t>
      </w:r>
      <w:r>
        <w:rPr>
          <w:rFonts w:hint="default" w:ascii="Times New Roman" w:hAnsi="Times New Roman"/>
          <w:color w:val="auto"/>
          <w:sz w:val="24"/>
          <w:szCs w:val="24"/>
          <w:lang w:val="ru-RU"/>
        </w:rPr>
        <w:t xml:space="preserve"> инспектором труда городской</w:t>
      </w:r>
      <w:r>
        <w:rPr>
          <w:rFonts w:ascii="Times New Roman" w:hAnsi="Times New Roman"/>
          <w:color w:val="auto"/>
          <w:sz w:val="24"/>
          <w:szCs w:val="24"/>
        </w:rPr>
        <w:t xml:space="preserve"> организации Профсоюза</w:t>
      </w:r>
      <w:r>
        <w:rPr>
          <w:rFonts w:hint="default" w:ascii="Times New Roman" w:hAnsi="Times New Roman"/>
          <w:color w:val="auto"/>
          <w:sz w:val="24"/>
          <w:szCs w:val="24"/>
          <w:lang w:val="ru-RU"/>
        </w:rPr>
        <w:t>.</w:t>
      </w:r>
    </w:p>
    <w:p w14:paraId="61542707">
      <w:pPr>
        <w:spacing w:after="0" w:line="240" w:lineRule="auto"/>
        <w:ind w:firstLine="851"/>
        <w:jc w:val="both"/>
        <w:rPr>
          <w:rFonts w:hint="default" w:ascii="Times New Roman" w:hAnsi="Times New Roman"/>
          <w:color w:val="auto"/>
          <w:sz w:val="24"/>
          <w:szCs w:val="24"/>
          <w:lang w:val="ru-RU"/>
        </w:rPr>
      </w:pPr>
      <w:r>
        <w:rPr>
          <w:rFonts w:ascii="Times New Roman" w:hAnsi="Times New Roman"/>
          <w:color w:val="auto"/>
          <w:sz w:val="24"/>
          <w:szCs w:val="24"/>
        </w:rPr>
        <w:t>Было проведено</w:t>
      </w:r>
      <w:r>
        <w:rPr>
          <w:rFonts w:hint="default" w:ascii="Times New Roman" w:hAnsi="Times New Roman"/>
          <w:color w:val="auto"/>
          <w:sz w:val="24"/>
          <w:szCs w:val="24"/>
          <w:lang w:val="ru-RU"/>
        </w:rPr>
        <w:t xml:space="preserve"> 8 </w:t>
      </w:r>
      <w:r>
        <w:rPr>
          <w:rFonts w:ascii="Times New Roman" w:hAnsi="Times New Roman"/>
          <w:color w:val="auto"/>
          <w:sz w:val="24"/>
          <w:szCs w:val="24"/>
        </w:rPr>
        <w:t>проверок работодателей</w:t>
      </w:r>
      <w:r>
        <w:rPr>
          <w:rFonts w:hint="default" w:ascii="Times New Roman" w:hAnsi="Times New Roman"/>
          <w:color w:val="auto"/>
          <w:sz w:val="24"/>
          <w:szCs w:val="24"/>
          <w:lang w:val="ru-RU"/>
        </w:rPr>
        <w:t>, 5</w:t>
      </w:r>
      <w:r>
        <w:rPr>
          <w:rFonts w:ascii="Times New Roman" w:hAnsi="Times New Roman"/>
          <w:color w:val="auto"/>
          <w:sz w:val="24"/>
          <w:szCs w:val="24"/>
        </w:rPr>
        <w:t xml:space="preserve"> из которых проводились совместно с </w:t>
      </w:r>
      <w:r>
        <w:rPr>
          <w:rFonts w:ascii="Times New Roman" w:hAnsi="Times New Roman"/>
          <w:color w:val="auto"/>
          <w:sz w:val="24"/>
          <w:szCs w:val="24"/>
          <w:lang w:val="ru-RU"/>
        </w:rPr>
        <w:t>Управлением</w:t>
      </w:r>
      <w:r>
        <w:rPr>
          <w:rFonts w:hint="default" w:ascii="Times New Roman" w:hAnsi="Times New Roman"/>
          <w:color w:val="auto"/>
          <w:sz w:val="24"/>
          <w:szCs w:val="24"/>
          <w:lang w:val="ru-RU"/>
        </w:rPr>
        <w:t xml:space="preserve"> образования администрацией городского округа - город Волжский Волгоградской области.</w:t>
      </w:r>
    </w:p>
    <w:p w14:paraId="1E99A39C">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xml:space="preserve">Реализация правозащитной работы осуществлялась по следующим основным направлениям: </w:t>
      </w:r>
    </w:p>
    <w:p w14:paraId="47D63EDB">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контроль за соблюдением прав работников – членов Профсоюза;</w:t>
      </w:r>
    </w:p>
    <w:p w14:paraId="77AC2C4A">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xml:space="preserve">- защита их прав и законных интересов в судах; </w:t>
      </w:r>
    </w:p>
    <w:p w14:paraId="14BB94CA">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правовая экспертиза и разработка проектов коллективных договоров и иных нормативных актов;</w:t>
      </w:r>
    </w:p>
    <w:p w14:paraId="5F1E9075">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xml:space="preserve">- подготовка предложений о внесении изменений в законодательство и иные нормативные правовые акты, содержащие нормы трудового права, направленные на повышение социально-трудовых прав и гарантий работников; </w:t>
      </w:r>
    </w:p>
    <w:p w14:paraId="12585458">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консультационная и разъяснительная работа.</w:t>
      </w:r>
    </w:p>
    <w:p w14:paraId="277084A7">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В 2024 году про</w:t>
      </w:r>
      <w:r>
        <w:rPr>
          <w:rFonts w:ascii="Times New Roman" w:hAnsi="Times New Roman"/>
          <w:color w:val="auto"/>
          <w:sz w:val="24"/>
          <w:szCs w:val="24"/>
          <w:lang w:val="ru-RU"/>
        </w:rPr>
        <w:t>ведено</w:t>
      </w:r>
      <w:r>
        <w:rPr>
          <w:rFonts w:ascii="Times New Roman" w:hAnsi="Times New Roman"/>
          <w:color w:val="auto"/>
          <w:sz w:val="24"/>
          <w:szCs w:val="24"/>
        </w:rPr>
        <w:t xml:space="preserve"> </w:t>
      </w:r>
      <w:r>
        <w:rPr>
          <w:rFonts w:hint="default" w:ascii="Times New Roman" w:hAnsi="Times New Roman"/>
          <w:color w:val="auto"/>
          <w:sz w:val="24"/>
          <w:szCs w:val="24"/>
          <w:lang w:val="ru-RU"/>
        </w:rPr>
        <w:t>2 совещания</w:t>
      </w:r>
      <w:r>
        <w:rPr>
          <w:rFonts w:ascii="Times New Roman" w:hAnsi="Times New Roman"/>
          <w:color w:val="auto"/>
          <w:sz w:val="24"/>
          <w:szCs w:val="24"/>
        </w:rPr>
        <w:t xml:space="preserve"> по вопросам правовой защиты </w:t>
      </w:r>
      <w:r>
        <w:rPr>
          <w:rFonts w:ascii="Times New Roman" w:hAnsi="Times New Roman"/>
          <w:color w:val="auto"/>
          <w:sz w:val="24"/>
          <w:szCs w:val="24"/>
          <w:lang w:val="ru-RU"/>
        </w:rPr>
        <w:t>работников</w:t>
      </w:r>
      <w:r>
        <w:rPr>
          <w:rFonts w:hint="default" w:ascii="Times New Roman" w:hAnsi="Times New Roman"/>
          <w:color w:val="auto"/>
          <w:sz w:val="24"/>
          <w:szCs w:val="24"/>
          <w:lang w:val="ru-RU"/>
        </w:rPr>
        <w:t>, изучение нормативно-правовых документов, касающихся социальной защиты членов профсоюза</w:t>
      </w:r>
      <w:r>
        <w:rPr>
          <w:rFonts w:ascii="Times New Roman" w:hAnsi="Times New Roman"/>
          <w:color w:val="auto"/>
          <w:sz w:val="24"/>
          <w:szCs w:val="24"/>
        </w:rPr>
        <w:t xml:space="preserve">.                       </w:t>
      </w:r>
    </w:p>
    <w:p w14:paraId="6DFEA4B1">
      <w:pPr>
        <w:spacing w:after="0" w:line="240" w:lineRule="auto"/>
        <w:ind w:firstLine="851"/>
        <w:jc w:val="both"/>
        <w:rPr>
          <w:rFonts w:hint="default" w:ascii="Times New Roman" w:hAnsi="Times New Roman"/>
          <w:color w:val="auto"/>
          <w:sz w:val="24"/>
          <w:szCs w:val="24"/>
          <w:lang w:val="ru-RU"/>
        </w:rPr>
      </w:pPr>
      <w:r>
        <w:rPr>
          <w:rFonts w:ascii="Times New Roman" w:hAnsi="Times New Roman"/>
          <w:color w:val="auto"/>
          <w:sz w:val="24"/>
          <w:szCs w:val="24"/>
        </w:rPr>
        <w:t xml:space="preserve">За отчетный период оказана  помощь при разработке </w:t>
      </w:r>
      <w:r>
        <w:rPr>
          <w:rFonts w:hint="default" w:ascii="Times New Roman" w:hAnsi="Times New Roman"/>
          <w:color w:val="auto"/>
          <w:sz w:val="24"/>
          <w:szCs w:val="24"/>
          <w:lang w:val="ru-RU"/>
        </w:rPr>
        <w:t>38</w:t>
      </w:r>
      <w:r>
        <w:rPr>
          <w:rFonts w:ascii="Times New Roman" w:hAnsi="Times New Roman"/>
          <w:color w:val="auto"/>
          <w:sz w:val="24"/>
          <w:szCs w:val="24"/>
        </w:rPr>
        <w:t xml:space="preserve"> коллективных  договоров</w:t>
      </w:r>
      <w:r>
        <w:rPr>
          <w:rFonts w:hint="default" w:ascii="Times New Roman" w:hAnsi="Times New Roman"/>
          <w:color w:val="auto"/>
          <w:sz w:val="24"/>
          <w:szCs w:val="24"/>
          <w:lang w:val="ru-RU"/>
        </w:rPr>
        <w:t>,</w:t>
      </w:r>
      <w:r>
        <w:rPr>
          <w:rFonts w:ascii="Times New Roman" w:hAnsi="Times New Roman"/>
          <w:color w:val="auto"/>
          <w:sz w:val="24"/>
          <w:szCs w:val="24"/>
        </w:rPr>
        <w:t xml:space="preserve"> а также по </w:t>
      </w:r>
      <w:r>
        <w:rPr>
          <w:rFonts w:ascii="Times New Roman" w:hAnsi="Times New Roman"/>
          <w:color w:val="auto"/>
          <w:sz w:val="24"/>
          <w:szCs w:val="24"/>
          <w:lang w:val="ru-RU"/>
        </w:rPr>
        <w:t>внесению</w:t>
      </w:r>
      <w:r>
        <w:rPr>
          <w:rFonts w:hint="default" w:ascii="Times New Roman" w:hAnsi="Times New Roman"/>
          <w:color w:val="auto"/>
          <w:sz w:val="24"/>
          <w:szCs w:val="24"/>
          <w:lang w:val="ru-RU"/>
        </w:rPr>
        <w:t xml:space="preserve"> и изменению дополнений в трудовые договора, правила внутреннего трудового распорядка, другие нормативно-правовые акты образовательных учреждений.</w:t>
      </w:r>
    </w:p>
    <w:p w14:paraId="44DE0E42">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xml:space="preserve">На личном приеме было принято, включая устные обращения, </w:t>
      </w:r>
      <w:r>
        <w:rPr>
          <w:rFonts w:hint="default" w:ascii="Times New Roman" w:hAnsi="Times New Roman"/>
          <w:color w:val="auto"/>
          <w:sz w:val="24"/>
          <w:szCs w:val="24"/>
          <w:lang w:val="ru-RU"/>
        </w:rPr>
        <w:t xml:space="preserve">121 </w:t>
      </w:r>
      <w:r>
        <w:rPr>
          <w:rFonts w:ascii="Times New Roman" w:hAnsi="Times New Roman"/>
          <w:color w:val="auto"/>
          <w:sz w:val="24"/>
          <w:szCs w:val="24"/>
        </w:rPr>
        <w:t xml:space="preserve">  член Профсоюза. Рассмотрено </w:t>
      </w:r>
      <w:r>
        <w:rPr>
          <w:rFonts w:hint="default" w:ascii="Times New Roman" w:hAnsi="Times New Roman"/>
          <w:color w:val="auto"/>
          <w:sz w:val="24"/>
          <w:szCs w:val="24"/>
          <w:lang w:val="ru-RU"/>
        </w:rPr>
        <w:t>12</w:t>
      </w:r>
      <w:r>
        <w:rPr>
          <w:rFonts w:ascii="Times New Roman" w:hAnsi="Times New Roman"/>
          <w:color w:val="auto"/>
          <w:sz w:val="24"/>
          <w:szCs w:val="24"/>
        </w:rPr>
        <w:t xml:space="preserve"> письменных жалоб  и других обращений.</w:t>
      </w:r>
    </w:p>
    <w:p w14:paraId="6D742727">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 xml:space="preserve">Значительное количество обращений было рассмотрено по существу и разрешено в пользу работников как в режиме офлайн, так и онлайн. </w:t>
      </w:r>
    </w:p>
    <w:p w14:paraId="0E410FBB">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lang w:val="ru-RU"/>
        </w:rPr>
        <w:t>Председателем</w:t>
      </w:r>
      <w:r>
        <w:rPr>
          <w:rFonts w:hint="default" w:ascii="Times New Roman" w:hAnsi="Times New Roman"/>
          <w:color w:val="auto"/>
          <w:sz w:val="24"/>
          <w:szCs w:val="24"/>
          <w:lang w:val="ru-RU"/>
        </w:rPr>
        <w:t xml:space="preserve"> Территориальной организации профсоюза </w:t>
      </w:r>
      <w:r>
        <w:rPr>
          <w:rFonts w:ascii="Times New Roman" w:hAnsi="Times New Roman"/>
          <w:color w:val="auto"/>
          <w:sz w:val="24"/>
          <w:szCs w:val="24"/>
        </w:rPr>
        <w:t xml:space="preserve">  еже</w:t>
      </w:r>
      <w:r>
        <w:rPr>
          <w:rFonts w:ascii="Times New Roman" w:hAnsi="Times New Roman"/>
          <w:color w:val="auto"/>
          <w:sz w:val="24"/>
          <w:szCs w:val="24"/>
          <w:lang w:val="ru-RU"/>
        </w:rPr>
        <w:t>недельно</w:t>
      </w:r>
      <w:r>
        <w:rPr>
          <w:rFonts w:ascii="Times New Roman" w:hAnsi="Times New Roman"/>
          <w:color w:val="auto"/>
          <w:sz w:val="24"/>
          <w:szCs w:val="24"/>
        </w:rPr>
        <w:t xml:space="preserve"> проводится </w:t>
      </w:r>
      <w:r>
        <w:rPr>
          <w:rFonts w:ascii="Times New Roman" w:hAnsi="Times New Roman"/>
          <w:color w:val="auto"/>
          <w:sz w:val="24"/>
          <w:szCs w:val="24"/>
          <w:lang w:val="ru-RU"/>
        </w:rPr>
        <w:t>встречи</w:t>
      </w:r>
      <w:r>
        <w:rPr>
          <w:rFonts w:hint="default" w:ascii="Times New Roman" w:hAnsi="Times New Roman"/>
          <w:color w:val="auto"/>
          <w:sz w:val="24"/>
          <w:szCs w:val="24"/>
          <w:lang w:val="ru-RU"/>
        </w:rPr>
        <w:t xml:space="preserve"> с членами профсоюза в профсоюзных организациях (День председателя в организации), еженедельно (в понедельник) осуществляется приём в горкоме профсоюза</w:t>
      </w:r>
      <w:r>
        <w:rPr>
          <w:rFonts w:ascii="Times New Roman" w:hAnsi="Times New Roman"/>
          <w:color w:val="auto"/>
          <w:sz w:val="24"/>
          <w:szCs w:val="24"/>
        </w:rPr>
        <w:t xml:space="preserve">. </w:t>
      </w:r>
    </w:p>
    <w:p w14:paraId="77A0F0AA">
      <w:pPr>
        <w:spacing w:after="0" w:line="240" w:lineRule="auto"/>
        <w:ind w:firstLine="851"/>
        <w:jc w:val="both"/>
        <w:rPr>
          <w:rFonts w:ascii="Times New Roman" w:hAnsi="Times New Roman"/>
          <w:color w:val="auto"/>
          <w:sz w:val="24"/>
          <w:szCs w:val="24"/>
        </w:rPr>
      </w:pPr>
      <w:r>
        <w:rPr>
          <w:rFonts w:ascii="Times New Roman" w:hAnsi="Times New Roman"/>
          <w:color w:val="auto"/>
          <w:sz w:val="24"/>
          <w:szCs w:val="24"/>
        </w:rPr>
        <w:t>В отчетном периоде правовая помощь оказывалась  по актуальным вопросам, связанным с изменением условий и расторжением трудового договора; нарушением порядка увольнения в связи с сокращением численности или штата работников; корректностью начисления заработной платы и установления выплат стимулирующего характера; призывом на военную службу; распределением учебной нагрузки, порядком ее изменения и другим вопросам.</w:t>
      </w:r>
    </w:p>
    <w:p w14:paraId="23B2FFB5">
      <w:pPr>
        <w:spacing w:after="0" w:line="240" w:lineRule="auto"/>
        <w:ind w:firstLine="851"/>
        <w:jc w:val="both"/>
        <w:rPr>
          <w:rFonts w:hint="default" w:ascii="Times New Roman" w:hAnsi="Times New Roman"/>
          <w:color w:val="auto"/>
          <w:sz w:val="24"/>
          <w:szCs w:val="24"/>
          <w:lang w:val="ru-RU"/>
        </w:rPr>
      </w:pPr>
      <w:r>
        <w:rPr>
          <w:rFonts w:ascii="Times New Roman" w:hAnsi="Times New Roman"/>
          <w:color w:val="auto"/>
          <w:sz w:val="24"/>
          <w:szCs w:val="24"/>
          <w:lang w:val="ru-RU"/>
        </w:rPr>
        <w:t>На</w:t>
      </w:r>
      <w:r>
        <w:rPr>
          <w:rFonts w:hint="default" w:ascii="Times New Roman" w:hAnsi="Times New Roman"/>
          <w:color w:val="auto"/>
          <w:sz w:val="24"/>
          <w:szCs w:val="24"/>
          <w:lang w:val="ru-RU"/>
        </w:rPr>
        <w:t xml:space="preserve"> заседании президиума были рассмотрены вопросы:</w:t>
      </w:r>
    </w:p>
    <w:p w14:paraId="0131133F">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Об итогах региональной тематической проверки «Соблюдение трудового законодательства в образовательных учреждениях»;</w:t>
      </w:r>
    </w:p>
    <w:p w14:paraId="279D0B84">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О результатах проверки состояния совместной работы администрации учреждения и первичной профсоюзной организации по соблюдению законодательства о труде.</w:t>
      </w:r>
    </w:p>
    <w:p w14:paraId="6B7479FA">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Все члены профсоюза обратившиеся за правовой помощью в отчётный период получили квалифицированную помощь на встречах с представителями:</w:t>
      </w:r>
    </w:p>
    <w:p w14:paraId="2F6CF975">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Социального фонда РФ;</w:t>
      </w:r>
    </w:p>
    <w:p w14:paraId="764D5CC0">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Комитета по социальной защите</w:t>
      </w:r>
      <w:bookmarkStart w:id="0" w:name="_GoBack"/>
      <w:bookmarkEnd w:id="0"/>
      <w:r>
        <w:rPr>
          <w:rFonts w:hint="default" w:ascii="Times New Roman" w:hAnsi="Times New Roman"/>
          <w:color w:val="auto"/>
          <w:sz w:val="24"/>
          <w:szCs w:val="24"/>
          <w:lang w:val="ru-RU"/>
        </w:rPr>
        <w:t xml:space="preserve"> населения;</w:t>
      </w:r>
    </w:p>
    <w:p w14:paraId="160CDABE">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Центра занятости;</w:t>
      </w:r>
    </w:p>
    <w:p w14:paraId="6B5FF720">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Федеральной налоговой службы.</w:t>
      </w:r>
    </w:p>
    <w:p w14:paraId="50CE358E">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Организованы и проведены обучающие семинары с профсоюзным активом города.</w:t>
      </w:r>
    </w:p>
    <w:p w14:paraId="1950E195">
      <w:pPr>
        <w:spacing w:after="0" w:line="240" w:lineRule="auto"/>
        <w:ind w:firstLine="851"/>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Охрана труда</w:t>
      </w:r>
    </w:p>
    <w:p w14:paraId="61F28EBD">
      <w:pPr>
        <w:spacing w:after="0" w:line="240" w:lineRule="auto"/>
        <w:ind w:firstLine="851"/>
        <w:jc w:val="both"/>
        <w:rPr>
          <w:rFonts w:hint="default" w:ascii="Times New Roman" w:hAnsi="Times New Roman"/>
          <w:color w:val="auto"/>
          <w:sz w:val="24"/>
          <w:szCs w:val="24"/>
          <w:lang w:val="ru-RU"/>
        </w:rPr>
      </w:pPr>
    </w:p>
    <w:p w14:paraId="40B1E921">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Территориальная организация Профсоюза, ее внештатный технический инспектор труда направляли свою деятельность на контроль над выполнением требований законодательства по охране труда, обеспечением гарантий работникам организаций образования на безопасные и здоровые условия труда, на защиту социально-трудовых прав и профессиональных интересов членов Профсоюза. </w:t>
      </w:r>
    </w:p>
    <w:p w14:paraId="7347A1C4">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Приоритетным направлением в деятельности по охране труда являлось проведение обследований и проверок соблюдения требований охраны труда в организациях образования.</w:t>
      </w:r>
    </w:p>
    <w:p w14:paraId="728E4E19">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Обследования проводились на всех уровнях структуры городской  организации ответственным специалистом по охране труда Управления образования, внештатным техническим инспектором труда, уполномоченными лицами по охране труда, членами комиссий по охране труда образовательных учреждений, профактивом.</w:t>
      </w:r>
    </w:p>
    <w:p w14:paraId="7CDB8C48">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При приемке образовательных  учреждений к новому учебному году проведен городской мониторинг готовности локальных нормативных актов по охране труда. </w:t>
      </w:r>
    </w:p>
    <w:p w14:paraId="00E61F1F">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Обследования и проверки  проводились в соответствии с планом работы, в котором особое внимание уделялось комплексному обследованию учреждений образования, работе профсоюзных организаций по защите прав членов Профсоюза на охрану труда. За отчетный период проведены проверки в школах и дошкольных образовательных учреждениях. К проверке привлекались специалисты Управления образования, внештатный технический инспектор труда, уполномоченные по охране труда профкомов образовательных учреждений. </w:t>
      </w:r>
    </w:p>
    <w:p w14:paraId="66B14713">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проверках в образовательных учреждениях была положительно отмечена деятельность городской организации Профсоюза по ряду направлений охраны труда:</w:t>
      </w:r>
    </w:p>
    <w:p w14:paraId="73D66D74">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в действующих коллективных договорах учреждений образования представлены разделы «Условия и охрана труда», а также заключены ежегодные соглашения по охране труда;</w:t>
      </w:r>
    </w:p>
    <w:p w14:paraId="68B8772B">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приняты положения о системе управления охраной труда;</w:t>
      </w:r>
    </w:p>
    <w:p w14:paraId="0A97D3ED">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 успешно используются возможности общественного контроля (организована деятельность уполномоченных лиц, комиссий по охране труда, внедрены системы трехступенчатого контроля);  </w:t>
      </w:r>
    </w:p>
    <w:p w14:paraId="72C18BAF">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осуществляется системный подход к обучению работников требованиям охраны труда;</w:t>
      </w:r>
    </w:p>
    <w:p w14:paraId="63E8FAB1">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в учреждениях проведена специальная оценка условий труда и оценка профессиональных рисков;</w:t>
      </w:r>
    </w:p>
    <w:p w14:paraId="73C0879E">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 документация по охране труда ведется в соответствии с требованиями нормативных правовых документов; </w:t>
      </w:r>
    </w:p>
    <w:p w14:paraId="3033C4E9">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 в образовательных учреждениях созданы условия для плодотворной работы педагогических коллективов. </w:t>
      </w:r>
    </w:p>
    <w:p w14:paraId="6CC4D7B7">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практике работы городского комитета профсоюза – рассмотрение текущих вопросов по охране труда и ежегодное подведение итогов работы за год на заседаниях президиума городской организации Профсоюза. </w:t>
      </w:r>
    </w:p>
    <w:p w14:paraId="40DD48B4">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На заседании комитета городской организации Профсоюза рассмотрен вопрос об итогах участия профсоюзных организаций  в работе комиссий по приемке образовательных учреждений к началу учебного года.</w:t>
      </w:r>
    </w:p>
    <w:p w14:paraId="27F128E3">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Силами городской организации Профсоюза ежегодно проводится обучение профсоюзного актива, председателей первичных профсоюзных организаций, председателей профкомов, членов комиссий по охране труда, уполномоченных лиц по охране труда, руководителей и специалистов образовательных учреждений. </w:t>
      </w:r>
    </w:p>
    <w:p w14:paraId="1C7A81F1">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Ответственным за охрану труда для всех образовательных учреждений города в ноябре месяце проведены вебинары на тему: «Современные требования к организации работы по охране труда в учреждении образования», количество участников – 220 человек (уполномоченные лица по охране труда, ответственные за охрану труда, руководители образовательных учреждений). </w:t>
      </w:r>
    </w:p>
    <w:p w14:paraId="51DB0AD2">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октябре 2024 года проведен семинар с председателями ППО  на тему: «Организация профсоюзного контроля за состоянием охраны труда в образовательном учреждении» (количество участников – 72 человек),  проведен семинар с вновь избранными председателями ППО на эту же тему (количество участников – 31 человек).</w:t>
      </w:r>
    </w:p>
    <w:p w14:paraId="756A4840">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Обученный профсоюзный актив постоянно принимает участие в работе комиссий по приемке образовательных учреждений к новому учебному году на их соответствие требованиям безопасности образовательного процесса.</w:t>
      </w:r>
    </w:p>
    <w:p w14:paraId="47532D96">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Для председателей профкомов, руководителей образовательных учреждений, ответственных за охрану труда и  уполномоченных лиц по охране труда разрабатываются методические рекомендации по вопросам охраны труда, макеты коллективных договоров, информационные материалы и др. </w:t>
      </w:r>
    </w:p>
    <w:p w14:paraId="439ECB56">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образовательных учреждениях города  в апреле 2024 года прошли мероприятия, посвященные «Всемирному дню охраны труда», отмечаемому 28 апреля  под лозунгом «Влияние изменения климата на безопасность и гигиену труда». </w:t>
      </w:r>
    </w:p>
    <w:p w14:paraId="674A3FC1">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ходе подготовки и проведения Всемирного дня охраны труда городская организация Профсоюза предложила профсоюзному активу: </w:t>
      </w:r>
    </w:p>
    <w:p w14:paraId="3C76275F">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организовать проведение  тематических круглых столов, анкетирования,  собеседований  по  вопросам,  связанным  с  улучшением профилактической работы по обеспечению охраны труда и здоровья работников образования;</w:t>
      </w:r>
    </w:p>
    <w:p w14:paraId="56A8A6DA">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направить, в случае необходимости, в соответствующие организации коллективные обращения, заявления, предложения по принятию конкретных решений в части укрепления здоровья работников;</w:t>
      </w:r>
    </w:p>
    <w:p w14:paraId="504B8423">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подготовить специальные выпуски наглядной агитации по охране труда;</w:t>
      </w:r>
    </w:p>
    <w:p w14:paraId="0295F707">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организовать и провести различные квесты, викторины, олимпиады, конкурсы, выставки и т. д.</w:t>
      </w:r>
    </w:p>
    <w:p w14:paraId="77910C90">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рамках недели активных действий осуществлялся общественный контроль за соблюдением в образовательных учреждениях законодательных и иных нормативных правовых актов по охране труда, наличия локальных актов работодателя по охране труда, таких как  Положение о системе управления охраной труда в организации, Отчеты о проведении специальной оценки условий труда, Отчеты по оценке профессиональных рисков. </w:t>
      </w:r>
    </w:p>
    <w:p w14:paraId="4ADAEC15">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Итоги Всемирного дня охраны труда подводились на совместных заседаниях профкома и администрации учреждений. </w:t>
      </w:r>
    </w:p>
    <w:p w14:paraId="42F4FA37">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Результаты проведения этих мероприятий отражены в отчетах образовательных учреждений о проведении Всемирного дня охраны труда.</w:t>
      </w:r>
    </w:p>
    <w:p w14:paraId="4BA7979E">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отчетный период  несчастные случаи на производстве отсутствуют. </w:t>
      </w:r>
    </w:p>
    <w:p w14:paraId="6E636D28">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Специальная оценка условий труда в образовательных учреждениях города проведена, за исключением отдельных рабочих мест.  </w:t>
      </w:r>
    </w:p>
    <w:p w14:paraId="6F4D6E0F">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2024 году  медицинские осмотры прошли все работники системы образования города. Работодатели полностью финансируют данное мероприятие, нарушений непрохождения работниками либо прохождения медицинских осмотров за счет собственных средств выявлено не было,  данный вопрос держится на постоянном профсоюзном контроле. Систематически решается вопрос прохождения работниками обязательного психиатрического освидетельствования.   </w:t>
      </w:r>
    </w:p>
    <w:p w14:paraId="426C00D0">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Общественный контроль над организацией обеспечения  по установленным нормам  спецодеждой, специальной обувью и другими средствами индивидуальной защиты работников образования осуществлялся в ходе проверок, а также в ходе приемки к новому учебному году. </w:t>
      </w:r>
    </w:p>
    <w:p w14:paraId="00678A67">
      <w:pPr>
        <w:spacing w:after="0" w:line="240" w:lineRule="auto"/>
        <w:ind w:firstLine="851"/>
        <w:jc w:val="both"/>
        <w:rPr>
          <w:rFonts w:hint="default" w:ascii="Times New Roman" w:hAnsi="Times New Roman"/>
          <w:color w:val="auto"/>
          <w:sz w:val="24"/>
          <w:szCs w:val="24"/>
          <w:u w:val="none"/>
          <w:lang w:val="ru-RU"/>
        </w:rPr>
      </w:pPr>
      <w:r>
        <w:rPr>
          <w:rFonts w:hint="default" w:ascii="Times New Roman" w:hAnsi="Times New Roman"/>
          <w:color w:val="auto"/>
          <w:sz w:val="24"/>
          <w:szCs w:val="24"/>
          <w:u w:val="none"/>
          <w:lang w:val="ru-RU"/>
        </w:rPr>
        <w:t>Безопасная эксплуатация зданий и сооружений образовательных организаций.</w:t>
      </w:r>
    </w:p>
    <w:p w14:paraId="1EDFE395">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Председатель Территориальной организации профсоюза, председатели  первичных профсоюзных организаций  входят в состав комиссий по приемке образовательных учреждений к началу учебного года и участвуют в приемке образовательных учреждений. При осуществлении приемки на уровне учреждений участвуют уполномоченные лица по охране труда и председатели ППО.  </w:t>
      </w:r>
    </w:p>
    <w:p w14:paraId="7768B581">
      <w:pPr>
        <w:spacing w:after="0" w:line="240" w:lineRule="auto"/>
        <w:ind w:firstLine="851"/>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2024 году все образовательные учреждения признаны готовыми к новому учебному году. </w:t>
      </w:r>
    </w:p>
    <w:p w14:paraId="16F779A8">
      <w:pPr>
        <w:spacing w:after="0" w:line="240" w:lineRule="auto"/>
        <w:ind w:firstLine="851"/>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Оздоровление и отдых</w:t>
      </w:r>
    </w:p>
    <w:p w14:paraId="62EF5F6E">
      <w:pPr>
        <w:spacing w:after="0" w:line="240" w:lineRule="auto"/>
        <w:ind w:firstLine="851"/>
        <w:jc w:val="center"/>
        <w:rPr>
          <w:rFonts w:hint="default" w:ascii="Times New Roman" w:hAnsi="Times New Roman"/>
          <w:b/>
          <w:bCs/>
          <w:color w:val="auto"/>
          <w:sz w:val="24"/>
          <w:szCs w:val="24"/>
          <w:lang w:val="ru-RU"/>
        </w:rPr>
      </w:pPr>
    </w:p>
    <w:p w14:paraId="666F01F4">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Большую работу проводит Территориальная организация профсоюза города по оздоровлению членов профсоюза, мероприятия направленные на профилактику заболеваний, укрепления здоровья, формирование здорового образа жизни, создание психологического комфорта, которые ведут к повышению работоспособности, улучшению качества и продолжительности жизни членов профсоюза.</w:t>
      </w:r>
    </w:p>
    <w:p w14:paraId="45E467A5">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xml:space="preserve">На протяжении 2024 года было продолжено оздоровление членов профсоюза и членов их семей через санаторий «Качалинский (скидка 40-50%)», ЗАО «СКО ФНПР «Профкурорт» (скидка 15-20%). </w:t>
      </w:r>
    </w:p>
    <w:p w14:paraId="40FF7075">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xml:space="preserve">Территориальная организация профсоюза города активно организует экскурсионные поездки по изучению родного края (126 человек). </w:t>
      </w:r>
    </w:p>
    <w:p w14:paraId="7A247E33">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Ежегодно осуществляются поездки в г. «Пятигорск - Кисловодск» (106 человек), «Дивеево» Нижегородская область (45 человек), город «Элиста» Калмыкия (49 человек), Озеро «Баскунчак» (51 человек), город «Пенза» (45 человек).</w:t>
      </w:r>
    </w:p>
    <w:p w14:paraId="258A82D0">
      <w:pPr>
        <w:spacing w:after="0" w:line="240" w:lineRule="auto"/>
        <w:ind w:firstLine="851"/>
        <w:jc w:val="both"/>
        <w:rPr>
          <w:rFonts w:hint="default" w:ascii="Times New Roman" w:hAnsi="Times New Roman"/>
          <w:b w:val="0"/>
          <w:bCs w:val="0"/>
          <w:color w:val="auto"/>
          <w:sz w:val="24"/>
          <w:szCs w:val="24"/>
          <w:lang w:val="en-US"/>
        </w:rPr>
      </w:pPr>
      <w:r>
        <w:rPr>
          <w:rFonts w:hint="default" w:ascii="Times New Roman" w:hAnsi="Times New Roman"/>
          <w:b w:val="0"/>
          <w:bCs w:val="0"/>
          <w:color w:val="auto"/>
          <w:sz w:val="24"/>
          <w:szCs w:val="24"/>
          <w:lang w:val="ru-RU"/>
        </w:rPr>
        <w:t xml:space="preserve">В соответствии с городским Положением «Об организации экскурсионной работы и отдыха в </w:t>
      </w:r>
      <w:r>
        <w:rPr>
          <w:rFonts w:hint="default" w:ascii="Times New Roman" w:hAnsi="Times New Roman"/>
          <w:b w:val="0"/>
          <w:bCs/>
          <w:color w:val="auto"/>
          <w:sz w:val="24"/>
          <w:szCs w:val="24"/>
          <w:lang w:val="en-US" w:eastAsia="ru-RU"/>
        </w:rPr>
        <w:t xml:space="preserve">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на каждую поездку члену профсоюза и его семье осуществляется дотация в размере 25% </w:t>
      </w:r>
    </w:p>
    <w:p w14:paraId="5FF6F071">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Профсоюзом организованы в 2024 году оздоровительные мероприятия для 68 человек на турбазах Среднеахтубинского района.</w:t>
      </w:r>
    </w:p>
    <w:p w14:paraId="25A3C590">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Согласно утвержденного Положения и квоты компенсации стоимости путевок санаторно - курортного лечения (оздоровление) для членов Профсоюза составляет 5000 (пять тысяч) рублей. Данную льготу в городе получили 11 человек.</w:t>
      </w:r>
    </w:p>
    <w:p w14:paraId="02F768A8">
      <w:pPr>
        <w:spacing w:after="0" w:line="240" w:lineRule="auto"/>
        <w:ind w:firstLine="851"/>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 реализации молодежной политики</w:t>
      </w:r>
    </w:p>
    <w:p w14:paraId="5C746F5B">
      <w:pPr>
        <w:spacing w:after="0" w:line="240" w:lineRule="auto"/>
        <w:ind w:firstLine="851"/>
        <w:jc w:val="center"/>
        <w:rPr>
          <w:rFonts w:hint="default" w:ascii="Times New Roman" w:hAnsi="Times New Roman"/>
          <w:b/>
          <w:bCs/>
          <w:color w:val="auto"/>
          <w:sz w:val="24"/>
          <w:szCs w:val="24"/>
          <w:lang w:val="ru-RU"/>
        </w:rPr>
      </w:pPr>
    </w:p>
    <w:p w14:paraId="1C9A432A">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xml:space="preserve">В отчетном периоде приоритетным направлением в деятельности городской организации была работа с молодыми педагогами. На базе МОУ СШ №12 была создана Школа молодого педагога. </w:t>
      </w:r>
    </w:p>
    <w:p w14:paraId="03A8E74E">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Программа школы включает в себя образовательные модули, направленные на содействие включению интерактивных методов формирования гражданской позиции и гражданского патриотизма в образовательный процесс, повышение профессиональных компетенций молодых педагогов, их адаптации в образовательном пространстве и роли Профсоюза в этом процессе.</w:t>
      </w:r>
    </w:p>
    <w:p w14:paraId="4A850BFE">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Для педагогов проводятся педагогические, психологические и творческие мастер-классы и тренинги, изучаются вопросы правовой культуры педагогов, работы с родителями.</w:t>
      </w:r>
    </w:p>
    <w:p w14:paraId="59431A21">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Мастер-классы, сетевые образовательные модули проводят известные педагоги города, победители и призеры Всероссийских конкурсов «Учитель года», олимпиады «Мой первый учитель».</w:t>
      </w:r>
    </w:p>
    <w:p w14:paraId="691869C5">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Молодые педагоги тесно взаимодействуют с Советом ветеранов, организуют совместные мероприятия.</w:t>
      </w:r>
    </w:p>
    <w:p w14:paraId="2E853513">
      <w:pPr>
        <w:spacing w:after="0" w:line="240" w:lineRule="auto"/>
        <w:ind w:firstLine="851"/>
        <w:jc w:val="both"/>
        <w:rPr>
          <w:rFonts w:hint="default" w:ascii="Times New Roman" w:hAnsi="Times New Roman"/>
          <w:b w:val="0"/>
          <w:bCs w:val="0"/>
          <w:color w:val="auto"/>
          <w:sz w:val="24"/>
          <w:szCs w:val="24"/>
          <w:lang w:val="ru-RU"/>
        </w:rPr>
      </w:pPr>
    </w:p>
    <w:p w14:paraId="0C94A89F">
      <w:pPr>
        <w:spacing w:after="0" w:line="240" w:lineRule="auto"/>
        <w:ind w:firstLine="851"/>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Финансовая деятельность</w:t>
      </w:r>
    </w:p>
    <w:p w14:paraId="22F1FBBC">
      <w:pPr>
        <w:spacing w:after="0" w:line="240" w:lineRule="auto"/>
        <w:ind w:firstLine="851"/>
        <w:jc w:val="center"/>
        <w:rPr>
          <w:rFonts w:hint="default" w:ascii="Times New Roman" w:hAnsi="Times New Roman"/>
          <w:b/>
          <w:bCs/>
          <w:color w:val="auto"/>
          <w:sz w:val="24"/>
          <w:szCs w:val="24"/>
          <w:lang w:val="ru-RU"/>
        </w:rPr>
      </w:pPr>
    </w:p>
    <w:p w14:paraId="57AA1EDB">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xml:space="preserve">В целях совершенствования финансовой политики Территориальной организацией Общероссийского Профсоюза образования города Волжского Волгоградской области проводится целенаправленная работа по формированию бюджета на каждый год. Финансовое обеспечение предусматривает финансирование актуальных направлений профсоюзной деятельности. </w:t>
      </w:r>
    </w:p>
    <w:p w14:paraId="58BF7CCD">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xml:space="preserve">В 2024 году процент перечисления членских профсоюзных взносов в областную организацию составил 30%. При планировании профсоюзного бюджета учитываются действующие программы, мероприятия, связанные с конкурсами профессионального мастерства, обучением профсоюзного актива, инновационными формы поддержки и информационным развитием, а также вопросы оздоровления и отдыха членов профсоюза.   </w:t>
      </w:r>
    </w:p>
    <w:p w14:paraId="0089A2DA">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Расходная часть сводного финансового отчета в 2024 году следующая (в процентах):</w:t>
      </w:r>
    </w:p>
    <w:p w14:paraId="638EF934">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информационно-пропагандистская работа – 3,1 %,</w:t>
      </w:r>
    </w:p>
    <w:p w14:paraId="524F42A9">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подготовка и обучение профсоюзного актива – 1,2%,</w:t>
      </w:r>
    </w:p>
    <w:p w14:paraId="007FFA8F">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оздоровление и отдых – 29,4</w:t>
      </w:r>
      <w:r>
        <w:rPr>
          <w:rFonts w:hint="default" w:ascii="Times New Roman" w:hAnsi="Times New Roman"/>
          <w:b w:val="0"/>
          <w:bCs w:val="0"/>
          <w:color w:val="FF0000"/>
          <w:sz w:val="24"/>
          <w:szCs w:val="24"/>
          <w:lang w:val="ru-RU"/>
        </w:rPr>
        <w:t xml:space="preserve"> </w:t>
      </w:r>
      <w:r>
        <w:rPr>
          <w:rFonts w:hint="default" w:ascii="Times New Roman" w:hAnsi="Times New Roman"/>
          <w:b w:val="0"/>
          <w:bCs w:val="0"/>
          <w:color w:val="auto"/>
          <w:sz w:val="24"/>
          <w:szCs w:val="24"/>
          <w:lang w:val="ru-RU"/>
        </w:rPr>
        <w:t>%,</w:t>
      </w:r>
    </w:p>
    <w:p w14:paraId="45753FD1">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работа с молодежью – 0,8 %,</w:t>
      </w:r>
    </w:p>
    <w:p w14:paraId="1165DD83">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культурно-массовые мероприятия – 28,4%,</w:t>
      </w:r>
    </w:p>
    <w:p w14:paraId="7B9C9C51">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материальная помощь членам профсоюза – 13%,</w:t>
      </w:r>
    </w:p>
    <w:p w14:paraId="5B9A2B12">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премия к грамоте ТОП - 5%,</w:t>
      </w:r>
    </w:p>
    <w:p w14:paraId="1DF92206">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 оплата труда с начислениями –  19 ,1 %.</w:t>
      </w:r>
    </w:p>
    <w:p w14:paraId="79AF9109">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В 2024 году деятельность  территориальной организации Профессионального союза  работников народного образования и науки Российской Федерации города Волжского Волгоградской области охватывала все основные направления, предусмотренные Уставом Общероссийского Профсоюза образования.</w:t>
      </w:r>
    </w:p>
    <w:p w14:paraId="2EC5A230">
      <w:pPr>
        <w:spacing w:after="0" w:line="240" w:lineRule="auto"/>
        <w:ind w:firstLine="851"/>
        <w:jc w:val="both"/>
        <w:rPr>
          <w:rFonts w:hint="default" w:ascii="Times New Roman" w:hAnsi="Times New Roman"/>
          <w:b w:val="0"/>
          <w:bCs w:val="0"/>
          <w:color w:val="auto"/>
          <w:sz w:val="24"/>
          <w:szCs w:val="24"/>
          <w:lang w:val="ru-RU"/>
        </w:rPr>
      </w:pPr>
      <w:r>
        <w:rPr>
          <w:rFonts w:hint="default" w:ascii="Times New Roman" w:hAnsi="Times New Roman"/>
          <w:b w:val="0"/>
          <w:bCs w:val="0"/>
          <w:color w:val="auto"/>
          <w:sz w:val="24"/>
          <w:szCs w:val="24"/>
          <w:lang w:val="ru-RU"/>
        </w:rPr>
        <w:t>В завершении  хочется сказать, что, только объединяя наши усилия и возможности, мы сможем реально добиться результатов по защите прав и социальных гарантий работников образовательных учреждений, как нашего города, области  и  всей страны в целом.</w:t>
      </w:r>
    </w:p>
    <w:p w14:paraId="1F226FAA">
      <w:pPr>
        <w:spacing w:after="0" w:line="240" w:lineRule="auto"/>
        <w:ind w:firstLine="851"/>
        <w:jc w:val="both"/>
        <w:rPr>
          <w:rFonts w:hint="default" w:ascii="Times New Roman" w:hAnsi="Times New Roman"/>
          <w:b w:val="0"/>
          <w:bCs w:val="0"/>
          <w:color w:val="auto"/>
          <w:sz w:val="24"/>
          <w:szCs w:val="24"/>
          <w:lang w:val="ru-RU"/>
        </w:rPr>
      </w:pPr>
    </w:p>
    <w:tbl>
      <w:tblPr>
        <w:tblStyle w:val="3"/>
        <w:tblW w:w="0" w:type="auto"/>
        <w:tblInd w:w="0" w:type="dxa"/>
        <w:tblLayout w:type="autofit"/>
        <w:tblCellMar>
          <w:top w:w="0" w:type="dxa"/>
          <w:left w:w="108" w:type="dxa"/>
          <w:bottom w:w="0" w:type="dxa"/>
          <w:right w:w="108" w:type="dxa"/>
        </w:tblCellMar>
      </w:tblPr>
      <w:tblGrid>
        <w:gridCol w:w="4933"/>
        <w:gridCol w:w="1577"/>
        <w:gridCol w:w="2012"/>
      </w:tblGrid>
      <w:tr w14:paraId="66D771FE">
        <w:tblPrEx>
          <w:tblCellMar>
            <w:top w:w="0" w:type="dxa"/>
            <w:left w:w="108" w:type="dxa"/>
            <w:bottom w:w="0" w:type="dxa"/>
            <w:right w:w="108" w:type="dxa"/>
          </w:tblCellMar>
        </w:tblPrEx>
        <w:trPr>
          <w:trHeight w:val="1615" w:hRule="atLeast"/>
        </w:trPr>
        <w:tc>
          <w:tcPr>
            <w:tcW w:w="4933" w:type="dxa"/>
            <w:noWrap w:val="0"/>
            <w:vAlign w:val="top"/>
          </w:tcPr>
          <w:p w14:paraId="52DDE99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Председатель </w:t>
            </w:r>
          </w:p>
          <w:p w14:paraId="791E0DD8">
            <w:pPr>
              <w:jc w:val="left"/>
              <w:rPr>
                <w:rFonts w:hint="default" w:ascii="Times New Roman" w:hAnsi="Times New Roman" w:cs="Times New Roman"/>
                <w:sz w:val="24"/>
                <w:szCs w:val="24"/>
                <w:lang w:val="ru-RU"/>
              </w:rPr>
            </w:pPr>
            <w:r>
              <w:rPr>
                <w:rFonts w:hint="default" w:ascii="Times New Roman" w:hAnsi="Times New Roman" w:cs="Times New Roman"/>
                <w:sz w:val="24"/>
                <w:szCs w:val="24"/>
              </w:rPr>
              <w:t>Территориальной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организации Общероссийского Профсоюза образования </w:t>
            </w:r>
            <w:r>
              <w:rPr>
                <w:rFonts w:hint="default" w:ascii="Times New Roman" w:hAnsi="Times New Roman" w:cs="Times New Roman"/>
                <w:sz w:val="24"/>
                <w:szCs w:val="24"/>
                <w:lang w:val="ru-RU"/>
              </w:rPr>
              <w:t xml:space="preserve">города Волжского Волгоградской области </w:t>
            </w:r>
          </w:p>
        </w:tc>
        <w:tc>
          <w:tcPr>
            <w:tcW w:w="1577" w:type="dxa"/>
            <w:noWrap w:val="0"/>
            <w:vAlign w:val="top"/>
          </w:tcPr>
          <w:p w14:paraId="648F12FE">
            <w:pPr>
              <w:jc w:val="both"/>
              <w:rPr>
                <w:rFonts w:hint="default" w:ascii="Times New Roman" w:hAnsi="Times New Roman" w:cs="Times New Roman"/>
                <w:b/>
                <w:sz w:val="24"/>
                <w:szCs w:val="24"/>
              </w:rPr>
            </w:pPr>
          </w:p>
          <w:p w14:paraId="3044C768">
            <w:pPr>
              <w:jc w:val="both"/>
              <w:rPr>
                <w:rFonts w:hint="default" w:ascii="Times New Roman" w:hAnsi="Times New Roman" w:cs="Times New Roman"/>
                <w:b/>
                <w:sz w:val="24"/>
                <w:szCs w:val="24"/>
              </w:rPr>
            </w:pPr>
          </w:p>
          <w:p w14:paraId="2C06FCD5">
            <w:pPr>
              <w:jc w:val="both"/>
              <w:rPr>
                <w:rFonts w:hint="default" w:ascii="Times New Roman" w:hAnsi="Times New Roman" w:cs="Times New Roman"/>
                <w:b/>
                <w:sz w:val="24"/>
                <w:szCs w:val="24"/>
              </w:rPr>
            </w:pPr>
          </w:p>
        </w:tc>
        <w:tc>
          <w:tcPr>
            <w:tcW w:w="2012" w:type="dxa"/>
            <w:noWrap w:val="0"/>
            <w:vAlign w:val="top"/>
          </w:tcPr>
          <w:p w14:paraId="6305E7B0">
            <w:pPr>
              <w:jc w:val="both"/>
              <w:rPr>
                <w:rFonts w:hint="default" w:ascii="Times New Roman" w:hAnsi="Times New Roman" w:cs="Times New Roman"/>
                <w:sz w:val="24"/>
                <w:szCs w:val="24"/>
              </w:rPr>
            </w:pPr>
          </w:p>
          <w:p w14:paraId="2CFD9F29">
            <w:pPr>
              <w:jc w:val="both"/>
              <w:rPr>
                <w:rFonts w:hint="default" w:ascii="Times New Roman" w:hAnsi="Times New Roman" w:cs="Times New Roman"/>
                <w:sz w:val="24"/>
                <w:szCs w:val="24"/>
                <w:lang w:val="ru-RU"/>
              </w:rPr>
            </w:pPr>
            <w:r>
              <w:rPr>
                <w:rFonts w:hint="default" w:ascii="Times New Roman" w:hAnsi="Times New Roman" w:cs="Times New Roman"/>
                <w:sz w:val="24"/>
                <w:szCs w:val="24"/>
              </w:rPr>
              <w:t>Г.</w:t>
            </w:r>
            <w:r>
              <w:rPr>
                <w:rFonts w:hint="default" w:ascii="Times New Roman" w:hAnsi="Times New Roman" w:cs="Times New Roman"/>
                <w:sz w:val="24"/>
                <w:szCs w:val="24"/>
                <w:lang w:val="ru-RU"/>
              </w:rPr>
              <w:t>Ф</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Брежнева</w:t>
            </w:r>
          </w:p>
        </w:tc>
      </w:tr>
    </w:tbl>
    <w:p w14:paraId="3C8D5E87">
      <w:pPr>
        <w:spacing w:after="0" w:line="240" w:lineRule="auto"/>
        <w:jc w:val="both"/>
        <w:rPr>
          <w:rFonts w:hint="default" w:ascii="Times New Roman" w:hAnsi="Times New Roman"/>
          <w:b w:val="0"/>
          <w:bCs w:val="0"/>
          <w:color w:val="auto"/>
          <w:sz w:val="24"/>
          <w:szCs w:val="24"/>
          <w:lang w:val="ru-RU"/>
        </w:rPr>
      </w:pPr>
    </w:p>
    <w:p w14:paraId="6CCAE4C4">
      <w:pPr>
        <w:spacing w:after="0"/>
        <w:ind w:firstLine="851"/>
        <w:jc w:val="both"/>
        <w:rPr>
          <w:rFonts w:hint="default" w:ascii="Times New Roman" w:hAnsi="Times New Roman"/>
          <w:color w:val="auto"/>
          <w:sz w:val="24"/>
          <w:szCs w:val="24"/>
          <w:lang w:val="ru-RU"/>
        </w:rPr>
      </w:pPr>
    </w:p>
    <w:p w14:paraId="57435F99">
      <w:pPr>
        <w:spacing w:after="0"/>
        <w:ind w:firstLine="851"/>
        <w:jc w:val="both"/>
        <w:rPr>
          <w:rFonts w:hint="default" w:ascii="Times New Roman" w:hAnsi="Times New Roman"/>
          <w:color w:val="auto"/>
          <w:sz w:val="24"/>
          <w:szCs w:val="24"/>
          <w:lang w:val="ru-RU"/>
        </w:rPr>
      </w:pPr>
    </w:p>
    <w:p w14:paraId="0C1C1420">
      <w:pPr>
        <w:spacing w:after="0"/>
        <w:ind w:firstLine="851"/>
        <w:jc w:val="both"/>
        <w:rPr>
          <w:rFonts w:hint="default" w:ascii="Times New Roman" w:hAnsi="Times New Roman"/>
          <w:color w:val="auto"/>
          <w:sz w:val="24"/>
          <w:szCs w:val="24"/>
          <w:lang w:val="ru-RU"/>
        </w:rPr>
      </w:pPr>
    </w:p>
    <w:p w14:paraId="3F70FBAB">
      <w:pPr>
        <w:rPr>
          <w:rFonts w:hint="default"/>
          <w:lang w:val="ru-RU"/>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1B0F"/>
    <w:rsid w:val="004E2A5E"/>
    <w:rsid w:val="00A5789B"/>
    <w:rsid w:val="00E33EC1"/>
    <w:rsid w:val="00FC4D5C"/>
    <w:rsid w:val="012845F2"/>
    <w:rsid w:val="029D0AD5"/>
    <w:rsid w:val="038B0DB3"/>
    <w:rsid w:val="03A81162"/>
    <w:rsid w:val="03C6073D"/>
    <w:rsid w:val="048E40B8"/>
    <w:rsid w:val="04BC0CE2"/>
    <w:rsid w:val="04F049A8"/>
    <w:rsid w:val="05383DBD"/>
    <w:rsid w:val="06173495"/>
    <w:rsid w:val="061E541A"/>
    <w:rsid w:val="06C52EEB"/>
    <w:rsid w:val="07CB2B57"/>
    <w:rsid w:val="07FF20AC"/>
    <w:rsid w:val="08BA128D"/>
    <w:rsid w:val="08C607F0"/>
    <w:rsid w:val="0906705B"/>
    <w:rsid w:val="09862E2D"/>
    <w:rsid w:val="0A6502CE"/>
    <w:rsid w:val="0A821B39"/>
    <w:rsid w:val="0B3C5593"/>
    <w:rsid w:val="0BCB1F86"/>
    <w:rsid w:val="0C123362"/>
    <w:rsid w:val="0EE01B92"/>
    <w:rsid w:val="0EFC1FA5"/>
    <w:rsid w:val="0F1B11D4"/>
    <w:rsid w:val="0FB66E54"/>
    <w:rsid w:val="107E56B8"/>
    <w:rsid w:val="11CD0198"/>
    <w:rsid w:val="128959F9"/>
    <w:rsid w:val="1296148B"/>
    <w:rsid w:val="13471654"/>
    <w:rsid w:val="136D5C6B"/>
    <w:rsid w:val="144114C7"/>
    <w:rsid w:val="14A624F0"/>
    <w:rsid w:val="16C136E5"/>
    <w:rsid w:val="17615F65"/>
    <w:rsid w:val="17920939"/>
    <w:rsid w:val="17EC3CD3"/>
    <w:rsid w:val="18F17B89"/>
    <w:rsid w:val="19B46BFB"/>
    <w:rsid w:val="1A5F2FD2"/>
    <w:rsid w:val="1AF65748"/>
    <w:rsid w:val="1C0C2D11"/>
    <w:rsid w:val="1C5E7B23"/>
    <w:rsid w:val="1CDF0CCA"/>
    <w:rsid w:val="1D274763"/>
    <w:rsid w:val="1FA3619B"/>
    <w:rsid w:val="1FA52578"/>
    <w:rsid w:val="203A62EF"/>
    <w:rsid w:val="20497E50"/>
    <w:rsid w:val="205F4C91"/>
    <w:rsid w:val="21194658"/>
    <w:rsid w:val="219E6AFD"/>
    <w:rsid w:val="21A410C8"/>
    <w:rsid w:val="22277688"/>
    <w:rsid w:val="22F464E8"/>
    <w:rsid w:val="2443168D"/>
    <w:rsid w:val="25102563"/>
    <w:rsid w:val="264C6C50"/>
    <w:rsid w:val="26B76B93"/>
    <w:rsid w:val="273264DD"/>
    <w:rsid w:val="278523D2"/>
    <w:rsid w:val="28D5302F"/>
    <w:rsid w:val="28EE2036"/>
    <w:rsid w:val="290D4AE9"/>
    <w:rsid w:val="29323074"/>
    <w:rsid w:val="2A1E4926"/>
    <w:rsid w:val="2A6B4A25"/>
    <w:rsid w:val="2B411D03"/>
    <w:rsid w:val="2BD35D4C"/>
    <w:rsid w:val="2C2D0ACB"/>
    <w:rsid w:val="2CA32426"/>
    <w:rsid w:val="2D0F13BA"/>
    <w:rsid w:val="2D2E698F"/>
    <w:rsid w:val="2D7D0B30"/>
    <w:rsid w:val="2E711609"/>
    <w:rsid w:val="2EDA56EA"/>
    <w:rsid w:val="2F2E2A75"/>
    <w:rsid w:val="2FAF7B4B"/>
    <w:rsid w:val="2FD31004"/>
    <w:rsid w:val="3041481D"/>
    <w:rsid w:val="30E55BEF"/>
    <w:rsid w:val="319E6A01"/>
    <w:rsid w:val="31B97BA0"/>
    <w:rsid w:val="32732851"/>
    <w:rsid w:val="33650BF3"/>
    <w:rsid w:val="33797B81"/>
    <w:rsid w:val="34C3689E"/>
    <w:rsid w:val="35021C06"/>
    <w:rsid w:val="35407BD4"/>
    <w:rsid w:val="35F42227"/>
    <w:rsid w:val="36A43530"/>
    <w:rsid w:val="36C91854"/>
    <w:rsid w:val="37F16A56"/>
    <w:rsid w:val="39A405D1"/>
    <w:rsid w:val="3AEC247A"/>
    <w:rsid w:val="3B1E51EE"/>
    <w:rsid w:val="3D4A5946"/>
    <w:rsid w:val="3E401F75"/>
    <w:rsid w:val="3E910C83"/>
    <w:rsid w:val="3EA242D1"/>
    <w:rsid w:val="3F8C2250"/>
    <w:rsid w:val="42C84132"/>
    <w:rsid w:val="42F85DCA"/>
    <w:rsid w:val="43B37F8E"/>
    <w:rsid w:val="44827275"/>
    <w:rsid w:val="44896BFF"/>
    <w:rsid w:val="44A05268"/>
    <w:rsid w:val="44C12B0D"/>
    <w:rsid w:val="452F2C10"/>
    <w:rsid w:val="460C6D7B"/>
    <w:rsid w:val="46C53B12"/>
    <w:rsid w:val="47B752CC"/>
    <w:rsid w:val="47BA1813"/>
    <w:rsid w:val="47C96CD1"/>
    <w:rsid w:val="48287D77"/>
    <w:rsid w:val="48B91673"/>
    <w:rsid w:val="48BD0863"/>
    <w:rsid w:val="48BE4190"/>
    <w:rsid w:val="48BF75E9"/>
    <w:rsid w:val="48F038D6"/>
    <w:rsid w:val="49223F75"/>
    <w:rsid w:val="49A64064"/>
    <w:rsid w:val="4A294FFD"/>
    <w:rsid w:val="4B8A13D4"/>
    <w:rsid w:val="4BC539C7"/>
    <w:rsid w:val="4CFF4BD7"/>
    <w:rsid w:val="4D3162DF"/>
    <w:rsid w:val="4D7429A4"/>
    <w:rsid w:val="4DE578DC"/>
    <w:rsid w:val="4E327823"/>
    <w:rsid w:val="4EB004CB"/>
    <w:rsid w:val="4EB909E2"/>
    <w:rsid w:val="4F1756CF"/>
    <w:rsid w:val="50E66FFD"/>
    <w:rsid w:val="51447B4F"/>
    <w:rsid w:val="5183104C"/>
    <w:rsid w:val="5247460D"/>
    <w:rsid w:val="529A036B"/>
    <w:rsid w:val="52F57C29"/>
    <w:rsid w:val="534B2BB6"/>
    <w:rsid w:val="538F760C"/>
    <w:rsid w:val="539C4FEA"/>
    <w:rsid w:val="54876D41"/>
    <w:rsid w:val="55A53C8F"/>
    <w:rsid w:val="56324B78"/>
    <w:rsid w:val="57252081"/>
    <w:rsid w:val="57A54A59"/>
    <w:rsid w:val="595B0E10"/>
    <w:rsid w:val="596F4300"/>
    <w:rsid w:val="599E1F7D"/>
    <w:rsid w:val="59FF3E1A"/>
    <w:rsid w:val="5AAD49D1"/>
    <w:rsid w:val="5B4068FC"/>
    <w:rsid w:val="5D7A3DF2"/>
    <w:rsid w:val="5DB96C63"/>
    <w:rsid w:val="5E54330F"/>
    <w:rsid w:val="5FA00FF1"/>
    <w:rsid w:val="5FD67D35"/>
    <w:rsid w:val="605075BA"/>
    <w:rsid w:val="61130ED3"/>
    <w:rsid w:val="612817E4"/>
    <w:rsid w:val="61D37F74"/>
    <w:rsid w:val="622E70A1"/>
    <w:rsid w:val="62EB69ED"/>
    <w:rsid w:val="62ED24CC"/>
    <w:rsid w:val="648517AD"/>
    <w:rsid w:val="650D74DA"/>
    <w:rsid w:val="65270493"/>
    <w:rsid w:val="6576694E"/>
    <w:rsid w:val="659B25C1"/>
    <w:rsid w:val="65A0200F"/>
    <w:rsid w:val="666722C5"/>
    <w:rsid w:val="66B3780A"/>
    <w:rsid w:val="67184E28"/>
    <w:rsid w:val="6751640F"/>
    <w:rsid w:val="677E0D69"/>
    <w:rsid w:val="67C1666E"/>
    <w:rsid w:val="67F166D5"/>
    <w:rsid w:val="68257BED"/>
    <w:rsid w:val="68642A54"/>
    <w:rsid w:val="69E20CC7"/>
    <w:rsid w:val="6A0216FE"/>
    <w:rsid w:val="6A601595"/>
    <w:rsid w:val="6AA15FDA"/>
    <w:rsid w:val="6ABF47D8"/>
    <w:rsid w:val="6B381D82"/>
    <w:rsid w:val="6C4442C2"/>
    <w:rsid w:val="6CCE0C0B"/>
    <w:rsid w:val="6CF959D6"/>
    <w:rsid w:val="6D0E597B"/>
    <w:rsid w:val="6D7F71AD"/>
    <w:rsid w:val="6D99628D"/>
    <w:rsid w:val="6DFA687D"/>
    <w:rsid w:val="6E8E6082"/>
    <w:rsid w:val="6F636D54"/>
    <w:rsid w:val="6F7615ED"/>
    <w:rsid w:val="6F822E81"/>
    <w:rsid w:val="6F8C1333"/>
    <w:rsid w:val="6FF9096F"/>
    <w:rsid w:val="71A60DDC"/>
    <w:rsid w:val="72CF78A8"/>
    <w:rsid w:val="73AC41D5"/>
    <w:rsid w:val="75AE4C20"/>
    <w:rsid w:val="7634617E"/>
    <w:rsid w:val="76A05212"/>
    <w:rsid w:val="770F4BCE"/>
    <w:rsid w:val="78D13FD3"/>
    <w:rsid w:val="794F4176"/>
    <w:rsid w:val="795C19A8"/>
    <w:rsid w:val="799B21A8"/>
    <w:rsid w:val="79C73ADB"/>
    <w:rsid w:val="79DD1220"/>
    <w:rsid w:val="7D2C5EE0"/>
    <w:rsid w:val="7EA810DB"/>
    <w:rsid w:val="7EB03F69"/>
    <w:rsid w:val="7F1A0BF5"/>
    <w:rsid w:val="7F8B3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Calibri" w:hAnsi="Calibri" w:eastAsia="Times New Roman" w:cs="Times New Roman"/>
      <w:color w:val="000000"/>
      <w:sz w:val="22"/>
      <w:lang w:val="ru-RU" w:eastAsia="ru-RU"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6</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2025-07-02T18:04:00Z</dcterms:created>
  <dc:creator>User</dc:creator>
  <cp:lastModifiedBy>Артём Куликов</cp:lastModifiedBy>
  <dcterms:modified xsi:type="dcterms:W3CDTF">2025-07-06T19:44:25Z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F7E09A534D7942AC982B7CFFC57ADB4A_12</vt:lpwstr>
  </property>
</Properties>
</file>