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PlusTitlePage"/>
        <w:rPr/>
      </w:pPr>
      <w:r>
        <w:rPr/>
        <w:t xml:space="preserve">Документ предоставлен </w:t>
      </w:r>
      <w:hyperlink r:id="rId2">
        <w:r>
          <w:rPr>
            <w:rStyle w:val="ListLabel1"/>
            <w:color w:val="0000FF"/>
          </w:rPr>
          <w:t>КонсультантПлюс</w:t>
        </w:r>
      </w:hyperlink>
      <w:r>
        <w:rPr/>
        <w:br/>
      </w:r>
    </w:p>
    <w:p>
      <w:pPr>
        <w:pStyle w:val="ConsPlusNormal"/>
        <w:numPr>
          <w:ilvl w:val="0"/>
          <w:numId w:val="0"/>
        </w:numPr>
        <w:jc w:val="both"/>
        <w:outlineLvl w:val="0"/>
        <w:rPr/>
      </w:pPr>
      <w:r>
        <w:rPr/>
      </w:r>
    </w:p>
    <w:p>
      <w:pPr>
        <w:pStyle w:val="ConsPlusTitle"/>
        <w:numPr>
          <w:ilvl w:val="0"/>
          <w:numId w:val="0"/>
        </w:numPr>
        <w:jc w:val="center"/>
        <w:outlineLvl w:val="0"/>
        <w:rPr/>
      </w:pPr>
      <w:r>
        <w:rPr/>
        <w:t>ПРАВИТЕЛЬСТВО ПЕРМСКОГО КРАЯ</w:t>
      </w:r>
    </w:p>
    <w:p>
      <w:pPr>
        <w:pStyle w:val="ConsPlusTitle"/>
        <w:jc w:val="center"/>
        <w:rPr/>
      </w:pPr>
      <w:r>
        <w:rPr/>
      </w:r>
    </w:p>
    <w:p>
      <w:pPr>
        <w:pStyle w:val="ConsPlusTitle"/>
        <w:jc w:val="center"/>
        <w:rPr/>
      </w:pPr>
      <w:r>
        <w:rPr/>
        <w:t>ПОСТАНОВЛЕНИЕ</w:t>
      </w:r>
    </w:p>
    <w:p>
      <w:pPr>
        <w:pStyle w:val="ConsPlusTitle"/>
        <w:jc w:val="center"/>
        <w:rPr/>
      </w:pPr>
      <w:r>
        <w:rPr/>
        <w:t>от 27 декабря 2007 г. N 368-п</w:t>
      </w:r>
    </w:p>
    <w:p>
      <w:pPr>
        <w:pStyle w:val="ConsPlusTitle"/>
        <w:jc w:val="center"/>
        <w:rPr/>
      </w:pPr>
      <w:r>
        <w:rPr/>
      </w:r>
    </w:p>
    <w:p>
      <w:pPr>
        <w:pStyle w:val="ConsPlusTitle"/>
        <w:jc w:val="center"/>
        <w:rPr/>
      </w:pPr>
      <w:r>
        <w:rPr/>
        <w:t>О ПРОВЕДЕНИИ КОНКУРСА НА ЛУЧШУЮ ОРГАНИЗАЦИЮ РАБОТЫ</w:t>
      </w:r>
    </w:p>
    <w:p>
      <w:pPr>
        <w:pStyle w:val="ConsPlusTitle"/>
        <w:jc w:val="center"/>
        <w:rPr/>
      </w:pPr>
      <w:r>
        <w:rPr/>
        <w:t>ПО ОХРАНЕ ТРУДА В ПЕРМСКОМ КРАЕ</w:t>
      </w:r>
    </w:p>
    <w:p>
      <w:pPr>
        <w:pStyle w:val="ConsPlusNormal"/>
        <w:spacing w:before="0" w:after="1"/>
        <w:rPr/>
      </w:pPr>
      <w:r>
        <w:rPr/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noHBand="0" w:noVBand="1" w:firstColumn="1" w:lastRow="0" w:lastColumn="0" w:firstRow="1"/>
      </w:tblPr>
      <w:tblGrid>
        <w:gridCol w:w="59"/>
        <w:gridCol w:w="114"/>
        <w:gridCol w:w="9068"/>
        <w:gridCol w:w="113"/>
      </w:tblGrid>
      <w:tr>
        <w:trPr/>
        <w:tc>
          <w:tcPr>
            <w:tcW w:w="59" w:type="dxa"/>
            <w:tcBorders/>
            <w:shd w:color="auto" w:fill="CED3F1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14" w:type="dxa"/>
            <w:tcBorders/>
            <w:shd w:color="auto" w:fill="F4F3F8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068" w:type="dxa"/>
            <w:tcBorders/>
            <w:shd w:color="auto" w:fill="F4F3F8" w:val="clear"/>
            <w:tcMar>
              <w:top w:w="113" w:type="dxa"/>
              <w:bottom w:w="113" w:type="dxa"/>
            </w:tcMar>
          </w:tcPr>
          <w:p>
            <w:pPr>
              <w:pStyle w:val="ConsPlusNormal"/>
              <w:jc w:val="center"/>
              <w:rPr/>
            </w:pPr>
            <w:r>
              <w:rPr>
                <w:color w:val="392C69"/>
              </w:rPr>
              <w:t>Список изменяющих документов</w:t>
            </w:r>
          </w:p>
          <w:p>
            <w:pPr>
              <w:pStyle w:val="ConsPlusNormal"/>
              <w:jc w:val="center"/>
              <w:rPr/>
            </w:pPr>
            <w:r>
              <w:rPr>
                <w:color w:val="392C69"/>
              </w:rPr>
              <w:t xml:space="preserve">(в ред. Постановлений Правительства Пермского края от 17.03.2009 </w:t>
            </w:r>
            <w:hyperlink r:id="rId3">
              <w:r>
                <w:rPr>
                  <w:rStyle w:val="ListLabel1"/>
                  <w:color w:val="0000FF"/>
                </w:rPr>
                <w:t>N 154-п</w:t>
              </w:r>
            </w:hyperlink>
            <w:r>
              <w:rPr>
                <w:color w:val="392C69"/>
              </w:rPr>
              <w:t>,</w:t>
            </w:r>
          </w:p>
          <w:p>
            <w:pPr>
              <w:pStyle w:val="ConsPlusNormal"/>
              <w:jc w:val="center"/>
              <w:rPr/>
            </w:pPr>
            <w:r>
              <w:rPr>
                <w:color w:val="392C69"/>
              </w:rPr>
              <w:t xml:space="preserve">от 25.01.2010 </w:t>
            </w:r>
            <w:hyperlink r:id="rId4">
              <w:r>
                <w:rPr>
                  <w:rStyle w:val="ListLabel1"/>
                  <w:color w:val="0000FF"/>
                </w:rPr>
                <w:t>N 21-п</w:t>
              </w:r>
            </w:hyperlink>
            <w:r>
              <w:rPr>
                <w:color w:val="392C69"/>
              </w:rPr>
              <w:t xml:space="preserve">, от 10.01.2012 </w:t>
            </w:r>
            <w:hyperlink r:id="rId5">
              <w:r>
                <w:rPr>
                  <w:rStyle w:val="ListLabel1"/>
                  <w:color w:val="0000FF"/>
                </w:rPr>
                <w:t>N 4-п</w:t>
              </w:r>
            </w:hyperlink>
            <w:r>
              <w:rPr>
                <w:color w:val="392C69"/>
              </w:rPr>
              <w:t xml:space="preserve">, от 16.01.2014 </w:t>
            </w:r>
            <w:hyperlink r:id="rId6">
              <w:r>
                <w:rPr>
                  <w:rStyle w:val="ListLabel1"/>
                  <w:color w:val="0000FF"/>
                </w:rPr>
                <w:t>N 17-п</w:t>
              </w:r>
            </w:hyperlink>
            <w:r>
              <w:rPr>
                <w:color w:val="392C69"/>
              </w:rPr>
              <w:t>,</w:t>
            </w:r>
          </w:p>
          <w:p>
            <w:pPr>
              <w:pStyle w:val="ConsPlusNormal"/>
              <w:jc w:val="center"/>
              <w:rPr/>
            </w:pPr>
            <w:r>
              <w:rPr>
                <w:color w:val="392C69"/>
              </w:rPr>
              <w:t xml:space="preserve">от 02.11.2018 </w:t>
            </w:r>
            <w:hyperlink r:id="rId7">
              <w:r>
                <w:rPr>
                  <w:rStyle w:val="ListLabel1"/>
                  <w:color w:val="0000FF"/>
                </w:rPr>
                <w:t>N 664-п</w:t>
              </w:r>
            </w:hyperlink>
            <w:r>
              <w:rPr>
                <w:color w:val="392C69"/>
              </w:rPr>
              <w:t xml:space="preserve">, от 10.11.2020 </w:t>
            </w:r>
            <w:hyperlink r:id="rId8">
              <w:r>
                <w:rPr>
                  <w:rStyle w:val="ListLabel1"/>
                  <w:color w:val="0000FF"/>
                </w:rPr>
                <w:t>N 854-п</w:t>
              </w:r>
            </w:hyperlink>
            <w:r>
              <w:rPr>
                <w:color w:val="392C69"/>
              </w:rPr>
              <w:t xml:space="preserve">, от 27.10.2022 </w:t>
            </w:r>
            <w:hyperlink r:id="rId9">
              <w:r>
                <w:rPr>
                  <w:rStyle w:val="ListLabel1"/>
                  <w:color w:val="0000FF"/>
                </w:rPr>
                <w:t>N 904-п</w:t>
              </w:r>
            </w:hyperlink>
            <w:r>
              <w:rPr>
                <w:color w:val="392C69"/>
              </w:rPr>
              <w:t>,</w:t>
            </w:r>
          </w:p>
          <w:p>
            <w:pPr>
              <w:pStyle w:val="ConsPlusNormal"/>
              <w:jc w:val="center"/>
              <w:rPr/>
            </w:pPr>
            <w:r>
              <w:rPr>
                <w:color w:val="392C69"/>
              </w:rPr>
              <w:t xml:space="preserve">от 09.04.2024 </w:t>
            </w:r>
            <w:hyperlink r:id="rId10">
              <w:r>
                <w:rPr>
                  <w:rStyle w:val="ListLabel1"/>
                  <w:color w:val="0000FF"/>
                </w:rPr>
                <w:t>N 203-п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/>
            <w:shd w:color="auto" w:fill="F4F3F8" w:val="clear"/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pStyle w:val="ConsPlusNormal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  <w:t>В целях обеспечения приоритета жизни и здоровья работников над результатами производственной деятельности, сохранения активной работоспособности трудящихся Пермского края Правительство Пермского края постановляет:</w:t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  <w:t xml:space="preserve">1. Утвердить прилагаемое </w:t>
      </w:r>
      <w:hyperlink w:anchor="P37">
        <w:r>
          <w:rPr>
            <w:rStyle w:val="ListLabel1"/>
            <w:color w:val="0000FF"/>
          </w:rPr>
          <w:t>Положение</w:t>
        </w:r>
      </w:hyperlink>
      <w:r>
        <w:rPr/>
        <w:t xml:space="preserve"> о конкурсе на лучшую организацию работы по охране труда в Пермском крае.</w:t>
      </w:r>
    </w:p>
    <w:p>
      <w:pPr>
        <w:pStyle w:val="ConsPlusNormal"/>
        <w:spacing w:before="220" w:after="0"/>
        <w:ind w:firstLine="540"/>
        <w:jc w:val="both"/>
        <w:rPr/>
      </w:pPr>
      <w:r>
        <w:rPr/>
        <w:t>2. Расходы на проведение конкурса на лучшую организацию работы по охране труда в Пермском крае осуществлять за счет средств, предусмотренных на охрану труда законом Пермского края о бюджете Пермского края на очередной финансовый год и плановый период.</w:t>
      </w:r>
    </w:p>
    <w:p>
      <w:pPr>
        <w:pStyle w:val="ConsPlusNormal"/>
        <w:spacing w:before="220" w:after="0"/>
        <w:ind w:firstLine="540"/>
        <w:jc w:val="both"/>
        <w:rPr/>
      </w:pPr>
      <w:r>
        <w:rPr/>
        <w:t>3. Министерству труда и социального развития Пермского края ежегодно проводить конкурс на лучшую организацию работы по охране труда в Пермском крае.</w:t>
      </w:r>
    </w:p>
    <w:p>
      <w:pPr>
        <w:pStyle w:val="ConsPlusNormal"/>
        <w:jc w:val="both"/>
        <w:rPr/>
      </w:pPr>
      <w:r>
        <w:rPr/>
        <w:t xml:space="preserve">(в ред. Постановлений Правительства Пермского края от 10.11.2020 </w:t>
      </w:r>
      <w:hyperlink r:id="rId11">
        <w:r>
          <w:rPr>
            <w:rStyle w:val="ListLabel1"/>
            <w:color w:val="0000FF"/>
          </w:rPr>
          <w:t>N 854-п</w:t>
        </w:r>
      </w:hyperlink>
      <w:r>
        <w:rPr/>
        <w:t xml:space="preserve">, от 09.04.2024 </w:t>
      </w:r>
      <w:hyperlink r:id="rId12">
        <w:r>
          <w:rPr>
            <w:rStyle w:val="ListLabel1"/>
            <w:color w:val="0000FF"/>
          </w:rPr>
          <w:t>N 203-п</w:t>
        </w:r>
      </w:hyperlink>
      <w:r>
        <w:rPr/>
        <w:t>)</w:t>
      </w:r>
    </w:p>
    <w:p>
      <w:pPr>
        <w:pStyle w:val="ConsPlusNormal"/>
        <w:spacing w:before="220" w:after="0"/>
        <w:ind w:firstLine="540"/>
        <w:jc w:val="both"/>
        <w:rPr/>
      </w:pPr>
      <w:r>
        <w:rPr/>
        <w:t>4. Контроль за исполнением постановления возложить на заместителя председателя Правительства Пермского края (по вопросам социальной защиты и здравоохранения).</w:t>
      </w:r>
    </w:p>
    <w:p>
      <w:pPr>
        <w:pStyle w:val="ConsPlusNormal"/>
        <w:jc w:val="both"/>
        <w:rPr/>
      </w:pPr>
      <w:r>
        <w:rPr/>
        <w:t xml:space="preserve">(в ред. Постановлений Правительства Пермского края от 10.11.2020 </w:t>
      </w:r>
      <w:hyperlink r:id="rId13">
        <w:r>
          <w:rPr>
            <w:rStyle w:val="ListLabel1"/>
            <w:color w:val="0000FF"/>
          </w:rPr>
          <w:t>N 854-п</w:t>
        </w:r>
      </w:hyperlink>
      <w:r>
        <w:rPr/>
        <w:t xml:space="preserve">, от 09.04.2024 </w:t>
      </w:r>
      <w:hyperlink r:id="rId14">
        <w:r>
          <w:rPr>
            <w:rStyle w:val="ListLabel1"/>
            <w:color w:val="0000FF"/>
          </w:rPr>
          <w:t>N 203-п</w:t>
        </w:r>
      </w:hyperlink>
      <w:r>
        <w:rPr/>
        <w:t>)</w:t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right"/>
        <w:rPr/>
      </w:pPr>
      <w:r>
        <w:rPr/>
        <w:t>Председатель</w:t>
      </w:r>
    </w:p>
    <w:p>
      <w:pPr>
        <w:pStyle w:val="ConsPlusNormal"/>
        <w:jc w:val="right"/>
        <w:rPr/>
      </w:pPr>
      <w:r>
        <w:rPr/>
        <w:t>Правительства края</w:t>
      </w:r>
    </w:p>
    <w:p>
      <w:pPr>
        <w:pStyle w:val="ConsPlusNormal"/>
        <w:jc w:val="right"/>
        <w:rPr/>
      </w:pPr>
      <w:r>
        <w:rPr/>
        <w:t>Н.Ю.БУХВАЛОВ</w:t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numPr>
          <w:ilvl w:val="0"/>
          <w:numId w:val="0"/>
        </w:numPr>
        <w:jc w:val="right"/>
        <w:outlineLvl w:val="0"/>
        <w:rPr/>
      </w:pPr>
      <w:r>
        <w:rPr/>
        <w:t>УТВЕРЖДЕНО</w:t>
      </w:r>
    </w:p>
    <w:p>
      <w:pPr>
        <w:pStyle w:val="ConsPlusNormal"/>
        <w:jc w:val="right"/>
        <w:rPr/>
      </w:pPr>
      <w:r>
        <w:rPr/>
        <w:t>Постановлением</w:t>
      </w:r>
    </w:p>
    <w:p>
      <w:pPr>
        <w:pStyle w:val="ConsPlusNormal"/>
        <w:jc w:val="right"/>
        <w:rPr/>
      </w:pPr>
      <w:r>
        <w:rPr/>
        <w:t>Правительства</w:t>
      </w:r>
    </w:p>
    <w:p>
      <w:pPr>
        <w:pStyle w:val="ConsPlusNormal"/>
        <w:jc w:val="right"/>
        <w:rPr/>
      </w:pPr>
      <w:r>
        <w:rPr/>
        <w:t>Пермского края</w:t>
      </w:r>
    </w:p>
    <w:p>
      <w:pPr>
        <w:pStyle w:val="ConsPlusNormal"/>
        <w:jc w:val="right"/>
        <w:rPr/>
      </w:pPr>
      <w:r>
        <w:rPr/>
        <w:t>от 27.12.2007 N 368-п</w:t>
      </w:r>
    </w:p>
    <w:p>
      <w:pPr>
        <w:pStyle w:val="ConsPlusNormal"/>
        <w:jc w:val="both"/>
        <w:rPr/>
      </w:pPr>
      <w:r>
        <w:rPr/>
      </w:r>
    </w:p>
    <w:p>
      <w:pPr>
        <w:pStyle w:val="ConsPlusTitle"/>
        <w:jc w:val="center"/>
        <w:rPr/>
      </w:pPr>
      <w:bookmarkStart w:id="0" w:name="P37"/>
      <w:bookmarkEnd w:id="0"/>
      <w:r>
        <w:rPr/>
        <w:t>ПОЛОЖЕНИЕ</w:t>
      </w:r>
    </w:p>
    <w:p>
      <w:pPr>
        <w:pStyle w:val="ConsPlusTitle"/>
        <w:jc w:val="center"/>
        <w:rPr/>
      </w:pPr>
      <w:r>
        <w:rPr/>
        <w:t>О КОНКУРСЕ НА ЛУЧШУЮ ОРГАНИЗАЦИЮ РАБОТЫ ПО ОХРАНЕ ТРУДА</w:t>
      </w:r>
    </w:p>
    <w:p>
      <w:pPr>
        <w:pStyle w:val="ConsPlusTitle"/>
        <w:jc w:val="center"/>
        <w:rPr/>
      </w:pPr>
      <w:r>
        <w:rPr/>
        <w:t>В ПЕРМСКОМ КРАЕ</w:t>
      </w:r>
    </w:p>
    <w:p>
      <w:pPr>
        <w:pStyle w:val="ConsPlusNormal"/>
        <w:spacing w:before="0" w:after="1"/>
        <w:rPr/>
      </w:pPr>
      <w:r>
        <w:rPr/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noHBand="0" w:noVBand="1" w:firstColumn="1" w:lastRow="0" w:lastColumn="0" w:firstRow="1"/>
      </w:tblPr>
      <w:tblGrid>
        <w:gridCol w:w="59"/>
        <w:gridCol w:w="114"/>
        <w:gridCol w:w="9068"/>
        <w:gridCol w:w="113"/>
      </w:tblGrid>
      <w:tr>
        <w:trPr/>
        <w:tc>
          <w:tcPr>
            <w:tcW w:w="59" w:type="dxa"/>
            <w:tcBorders/>
            <w:shd w:color="auto" w:fill="CED3F1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14" w:type="dxa"/>
            <w:tcBorders/>
            <w:shd w:color="auto" w:fill="F4F3F8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068" w:type="dxa"/>
            <w:tcBorders/>
            <w:shd w:color="auto" w:fill="F4F3F8" w:val="clear"/>
            <w:tcMar>
              <w:top w:w="113" w:type="dxa"/>
              <w:bottom w:w="113" w:type="dxa"/>
            </w:tcMar>
          </w:tcPr>
          <w:p>
            <w:pPr>
              <w:pStyle w:val="ConsPlusNormal"/>
              <w:jc w:val="center"/>
              <w:rPr/>
            </w:pPr>
            <w:r>
              <w:rPr>
                <w:color w:val="392C69"/>
              </w:rPr>
              <w:t>Список изменяющих документов</w:t>
            </w:r>
          </w:p>
          <w:p>
            <w:pPr>
              <w:pStyle w:val="ConsPlusNormal"/>
              <w:jc w:val="center"/>
              <w:rPr/>
            </w:pPr>
            <w:r>
              <w:rPr>
                <w:color w:val="392C69"/>
              </w:rPr>
              <w:t xml:space="preserve">(в ред. Постановлений Правительства Пермского края от 17.03.2009 </w:t>
            </w:r>
            <w:hyperlink r:id="rId15">
              <w:r>
                <w:rPr>
                  <w:rStyle w:val="ListLabel1"/>
                  <w:color w:val="0000FF"/>
                </w:rPr>
                <w:t>N 154-п</w:t>
              </w:r>
            </w:hyperlink>
            <w:r>
              <w:rPr>
                <w:color w:val="392C69"/>
              </w:rPr>
              <w:t>,</w:t>
            </w:r>
          </w:p>
          <w:p>
            <w:pPr>
              <w:pStyle w:val="ConsPlusNormal"/>
              <w:jc w:val="center"/>
              <w:rPr/>
            </w:pPr>
            <w:r>
              <w:rPr>
                <w:color w:val="392C69"/>
              </w:rPr>
              <w:t xml:space="preserve">от 25.01.2010 </w:t>
            </w:r>
            <w:hyperlink r:id="rId16">
              <w:r>
                <w:rPr>
                  <w:rStyle w:val="ListLabel1"/>
                  <w:color w:val="0000FF"/>
                </w:rPr>
                <w:t>N 21-п</w:t>
              </w:r>
            </w:hyperlink>
            <w:r>
              <w:rPr>
                <w:color w:val="392C69"/>
              </w:rPr>
              <w:t xml:space="preserve">, от 10.01.2012 </w:t>
            </w:r>
            <w:hyperlink r:id="rId17">
              <w:r>
                <w:rPr>
                  <w:rStyle w:val="ListLabel1"/>
                  <w:color w:val="0000FF"/>
                </w:rPr>
                <w:t>N 4-п</w:t>
              </w:r>
            </w:hyperlink>
            <w:r>
              <w:rPr>
                <w:color w:val="392C69"/>
              </w:rPr>
              <w:t xml:space="preserve">, от 16.01.2014 </w:t>
            </w:r>
            <w:hyperlink r:id="rId18">
              <w:r>
                <w:rPr>
                  <w:rStyle w:val="ListLabel1"/>
                  <w:color w:val="0000FF"/>
                </w:rPr>
                <w:t>N 17-п</w:t>
              </w:r>
            </w:hyperlink>
            <w:r>
              <w:rPr>
                <w:color w:val="392C69"/>
              </w:rPr>
              <w:t>,</w:t>
            </w:r>
          </w:p>
          <w:p>
            <w:pPr>
              <w:pStyle w:val="ConsPlusNormal"/>
              <w:jc w:val="center"/>
              <w:rPr/>
            </w:pPr>
            <w:r>
              <w:rPr>
                <w:color w:val="392C69"/>
              </w:rPr>
              <w:t xml:space="preserve">от 02.11.2018 </w:t>
            </w:r>
            <w:hyperlink r:id="rId19">
              <w:r>
                <w:rPr>
                  <w:rStyle w:val="ListLabel1"/>
                  <w:color w:val="0000FF"/>
                </w:rPr>
                <w:t>N 664-п</w:t>
              </w:r>
            </w:hyperlink>
            <w:r>
              <w:rPr>
                <w:color w:val="392C69"/>
              </w:rPr>
              <w:t xml:space="preserve">, от 10.11.2020 </w:t>
            </w:r>
            <w:hyperlink r:id="rId20">
              <w:r>
                <w:rPr>
                  <w:rStyle w:val="ListLabel1"/>
                  <w:color w:val="0000FF"/>
                </w:rPr>
                <w:t>N 854-п</w:t>
              </w:r>
            </w:hyperlink>
            <w:r>
              <w:rPr>
                <w:color w:val="392C69"/>
              </w:rPr>
              <w:t xml:space="preserve">, от 27.10.2022 </w:t>
            </w:r>
            <w:hyperlink r:id="rId21">
              <w:r>
                <w:rPr>
                  <w:rStyle w:val="ListLabel1"/>
                  <w:color w:val="0000FF"/>
                </w:rPr>
                <w:t>N 904-п</w:t>
              </w:r>
            </w:hyperlink>
            <w:r>
              <w:rPr>
                <w:color w:val="392C69"/>
              </w:rPr>
              <w:t>,</w:t>
            </w:r>
          </w:p>
          <w:p>
            <w:pPr>
              <w:pStyle w:val="ConsPlusNormal"/>
              <w:jc w:val="center"/>
              <w:rPr/>
            </w:pPr>
            <w:r>
              <w:rPr>
                <w:color w:val="392C69"/>
              </w:rPr>
              <w:t xml:space="preserve">от 09.04.2024 </w:t>
            </w:r>
            <w:hyperlink r:id="rId22">
              <w:r>
                <w:rPr>
                  <w:rStyle w:val="ListLabel1"/>
                  <w:color w:val="0000FF"/>
                </w:rPr>
                <w:t>N 203-п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/>
            <w:shd w:color="auto" w:fill="F4F3F8" w:val="clear"/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pStyle w:val="ConsPlusNormal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jc w:val="center"/>
        <w:outlineLvl w:val="1"/>
        <w:rPr/>
      </w:pPr>
      <w:r>
        <w:rPr/>
        <w:t>1. Общие положения</w:t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  <w:t xml:space="preserve">Положение о конкурсе на лучшую организацию работы по охране труда в Пермском крае (далее - конкурс) разработано в соответствии с </w:t>
      </w:r>
      <w:hyperlink r:id="rId23">
        <w:r>
          <w:rPr>
            <w:rStyle w:val="ListLabel1"/>
            <w:color w:val="0000FF"/>
          </w:rPr>
          <w:t>главой 57</w:t>
        </w:r>
      </w:hyperlink>
      <w:r>
        <w:rPr/>
        <w:t xml:space="preserve"> Гражданского кодекса Российской Федерации и определяет цели, задачи конкурса, требования к участникам конкурса, порядок организации и проведения конкурса, порядок подведения итогов конкурса и поощрения победителей конкурса.</w:t>
      </w:r>
    </w:p>
    <w:p>
      <w:pPr>
        <w:pStyle w:val="ConsPlusNormal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jc w:val="center"/>
        <w:outlineLvl w:val="1"/>
        <w:rPr/>
      </w:pPr>
      <w:r>
        <w:rPr/>
        <w:t>2. Цели конкурса</w:t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  <w:t>2.1. Целью конкурса является привлечение внимания к решению вопросов обеспечения безопасных условий труда на рабочих местах, изучение и распространение передового опыта по внедрению систем управления охраной труда, снижение количества несчастных случаев на производстве и профессиональных заболеваний.</w:t>
      </w:r>
    </w:p>
    <w:p>
      <w:pPr>
        <w:pStyle w:val="ConsPlusNormal"/>
        <w:jc w:val="both"/>
        <w:rPr/>
      </w:pPr>
      <w:r>
        <w:rPr/>
        <w:t xml:space="preserve">(п. 2.1 в ред. </w:t>
      </w:r>
      <w:hyperlink r:id="rId24">
        <w:r>
          <w:rPr>
            <w:rStyle w:val="ListLabel1"/>
            <w:color w:val="0000FF"/>
          </w:rPr>
          <w:t>Постановления</w:t>
        </w:r>
      </w:hyperlink>
      <w:r>
        <w:rPr/>
        <w:t xml:space="preserve"> Правительства Пермского края от 02.11.2018 N 664-п)</w:t>
      </w:r>
    </w:p>
    <w:p>
      <w:pPr>
        <w:pStyle w:val="ConsPlusNormal"/>
        <w:spacing w:before="220" w:after="0"/>
        <w:ind w:firstLine="540"/>
        <w:jc w:val="both"/>
        <w:rPr/>
      </w:pPr>
      <w:r>
        <w:rPr/>
        <w:t xml:space="preserve">2.1.1-2.1.5. утратили силу. - </w:t>
      </w:r>
      <w:hyperlink r:id="rId25">
        <w:r>
          <w:rPr>
            <w:rStyle w:val="ListLabel1"/>
            <w:color w:val="0000FF"/>
          </w:rPr>
          <w:t>Постановление</w:t>
        </w:r>
      </w:hyperlink>
      <w:r>
        <w:rPr/>
        <w:t xml:space="preserve"> Правительства Пермского края от 02.11.2018 N 664-п.</w:t>
      </w:r>
    </w:p>
    <w:p>
      <w:pPr>
        <w:pStyle w:val="ConsPlusNormal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jc w:val="center"/>
        <w:outlineLvl w:val="1"/>
        <w:rPr/>
      </w:pPr>
      <w:r>
        <w:rPr/>
        <w:t>3. Задачи конкурса</w:t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  <w:t>3.1. Задачи конкурса:</w:t>
      </w:r>
    </w:p>
    <w:p>
      <w:pPr>
        <w:pStyle w:val="ConsPlusNormal"/>
        <w:spacing w:before="220" w:after="0"/>
        <w:ind w:firstLine="540"/>
        <w:jc w:val="both"/>
        <w:rPr/>
      </w:pPr>
      <w:r>
        <w:rPr/>
        <w:t>3.1.1. активизация деятельности работодателей, трудовых коллективов, уполномоченных (доверенных) лиц по охране труда, первичных профсоюзных организаций, иных представительных органов работников по обеспечению прав работников на труд в условиях, отвечающих требованиям профессиональной безопасности и гигиены;</w:t>
      </w:r>
    </w:p>
    <w:p>
      <w:pPr>
        <w:pStyle w:val="ConsPlusNormal"/>
        <w:spacing w:before="220" w:after="0"/>
        <w:ind w:firstLine="540"/>
        <w:jc w:val="both"/>
        <w:rPr/>
      </w:pPr>
      <w:r>
        <w:rPr/>
        <w:t>3.1.2. содействие организации профилактических работ, направленных на снижение производственного травматизма и профессиональной заболеваемости;</w:t>
      </w:r>
    </w:p>
    <w:p>
      <w:pPr>
        <w:pStyle w:val="ConsPlusNormal"/>
        <w:spacing w:before="220" w:after="0"/>
        <w:ind w:firstLine="540"/>
        <w:jc w:val="both"/>
        <w:rPr/>
      </w:pPr>
      <w:r>
        <w:rPr/>
        <w:t>3.1.3. обобщение положительного опыта в сфере улучшения условий и охраны труда;</w:t>
      </w:r>
    </w:p>
    <w:p>
      <w:pPr>
        <w:pStyle w:val="ConsPlusNormal"/>
        <w:spacing w:before="220" w:after="0"/>
        <w:ind w:firstLine="540"/>
        <w:jc w:val="both"/>
        <w:rPr/>
      </w:pPr>
      <w:r>
        <w:rPr/>
        <w:t>3.1.4. организация взаимодействия заинтересованных исполнительных органов государственной власти Пермского края, территориальных органов федеральных органов исполнительной власти в Пермском крае, органов местного самоуправления муниципальных районов и городских округов Пермского края, общественных организаций, профсоюзов, работодателей и их объединений по разработке и реализации региональной политики в области охраны труда.</w:t>
      </w:r>
    </w:p>
    <w:p>
      <w:pPr>
        <w:pStyle w:val="ConsPlusNormal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jc w:val="center"/>
        <w:outlineLvl w:val="1"/>
        <w:rPr/>
      </w:pPr>
      <w:r>
        <w:rPr/>
        <w:t>4. Участники конкурса</w:t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  <w:t>4.1. В конкурсе могут принимать участие организации независимо от организационно-правовых форм, форм собственности и ведомственной принадлежности.</w:t>
      </w:r>
    </w:p>
    <w:p>
      <w:pPr>
        <w:pStyle w:val="ConsPlusNormal"/>
        <w:spacing w:before="220" w:after="0"/>
        <w:ind w:firstLine="540"/>
        <w:jc w:val="both"/>
        <w:rPr/>
      </w:pPr>
      <w:r>
        <w:rPr/>
        <w:t>4.2. Обязательными условиями участия организаций в конкурсе являются:</w:t>
      </w:r>
    </w:p>
    <w:p>
      <w:pPr>
        <w:pStyle w:val="ConsPlusNormal"/>
        <w:spacing w:before="220" w:after="0"/>
        <w:ind w:firstLine="540"/>
        <w:jc w:val="both"/>
        <w:rPr/>
      </w:pPr>
      <w:r>
        <w:rPr/>
        <w:t>4.2.1. наличие службы охраны труда (специалиста по охране труда);</w:t>
      </w:r>
    </w:p>
    <w:p>
      <w:pPr>
        <w:pStyle w:val="ConsPlusNormal"/>
        <w:spacing w:before="220" w:after="0"/>
        <w:ind w:firstLine="540"/>
        <w:jc w:val="both"/>
        <w:rPr/>
      </w:pPr>
      <w:r>
        <w:rPr/>
        <w:t>4.2.2. отсутствие смертельных, групповых и тяжелых несчастных случаев на производстве (за исключением несчастных случаев на производстве, произошедших исключительно по вине третьих лиц);</w:t>
      </w:r>
    </w:p>
    <w:p>
      <w:pPr>
        <w:pStyle w:val="ConsPlusNormal"/>
        <w:jc w:val="both"/>
        <w:rPr/>
      </w:pPr>
      <w:r>
        <w:rPr/>
        <w:t xml:space="preserve">(п. 4.2.2 в ред. </w:t>
      </w:r>
      <w:hyperlink r:id="rId26">
        <w:r>
          <w:rPr>
            <w:rStyle w:val="ListLabel1"/>
            <w:color w:val="0000FF"/>
          </w:rPr>
          <w:t>Постановления</w:t>
        </w:r>
      </w:hyperlink>
      <w:r>
        <w:rPr/>
        <w:t xml:space="preserve"> Правительства Пермского края от 27.10.2022 N 904-п)</w:t>
      </w:r>
    </w:p>
    <w:p>
      <w:pPr>
        <w:pStyle w:val="ConsPlusNormal"/>
        <w:spacing w:before="220" w:after="0"/>
        <w:ind w:firstLine="540"/>
        <w:jc w:val="both"/>
        <w:rPr/>
      </w:pPr>
      <w:r>
        <w:rPr/>
        <w:t>4.2.3. наличие коллективного договора, содержащего мероприятия по охране труда, или соглашения по охране труда;</w:t>
      </w:r>
    </w:p>
    <w:p>
      <w:pPr>
        <w:pStyle w:val="ConsPlusNormal"/>
        <w:spacing w:before="220" w:after="0"/>
        <w:ind w:firstLine="540"/>
        <w:jc w:val="both"/>
        <w:rPr/>
      </w:pPr>
      <w:r>
        <w:rPr/>
        <w:t>4.2.4. прохождение обучения по охране труда, проверки знаний требований охраны труда руководителем и специалистами организации;</w:t>
      </w:r>
    </w:p>
    <w:p>
      <w:pPr>
        <w:pStyle w:val="ConsPlusNormal"/>
        <w:spacing w:before="220" w:after="0"/>
        <w:ind w:firstLine="540"/>
        <w:jc w:val="both"/>
        <w:rPr/>
      </w:pPr>
      <w:r>
        <w:rPr/>
        <w:t>4.2.5. отсутствие взысканий в виде административного приостановления деятельности вследствие нарушения санитарного законодательства.</w:t>
      </w:r>
    </w:p>
    <w:p>
      <w:pPr>
        <w:pStyle w:val="ConsPlusNormal"/>
        <w:jc w:val="both"/>
        <w:rPr/>
      </w:pPr>
      <w:r>
        <w:rPr/>
        <w:t xml:space="preserve">(п. 4.2.5 введен </w:t>
      </w:r>
      <w:hyperlink r:id="rId27">
        <w:r>
          <w:rPr>
            <w:rStyle w:val="ListLabel1"/>
            <w:color w:val="0000FF"/>
          </w:rPr>
          <w:t>Постановлением</w:t>
        </w:r>
      </w:hyperlink>
      <w:r>
        <w:rPr/>
        <w:t xml:space="preserve"> Правительства Пермского края от 16.01.2014 N 17-п)</w:t>
      </w:r>
    </w:p>
    <w:p>
      <w:pPr>
        <w:pStyle w:val="ConsPlusNormal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jc w:val="center"/>
        <w:outlineLvl w:val="1"/>
        <w:rPr/>
      </w:pPr>
      <w:r>
        <w:rPr/>
        <w:t>5. Порядок организации и проведения конкурса</w:t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  <w:t>5.1. Организацию и проведение конкурса осуществляет Министерство труда и социального развития Пермского края (далее - Министерство).</w:t>
      </w:r>
    </w:p>
    <w:p>
      <w:pPr>
        <w:pStyle w:val="ConsPlusNormal"/>
        <w:jc w:val="both"/>
        <w:rPr/>
      </w:pPr>
      <w:r>
        <w:rPr/>
        <w:t xml:space="preserve">(в ред. Постановлений Правительства Пермского края от 10.11.2020 </w:t>
      </w:r>
      <w:hyperlink r:id="rId28">
        <w:r>
          <w:rPr>
            <w:rStyle w:val="ListLabel1"/>
            <w:color w:val="0000FF"/>
          </w:rPr>
          <w:t>N 854-п</w:t>
        </w:r>
      </w:hyperlink>
      <w:r>
        <w:rPr/>
        <w:t xml:space="preserve">, от 09.04.2024 </w:t>
      </w:r>
      <w:hyperlink r:id="rId29">
        <w:r>
          <w:rPr>
            <w:rStyle w:val="ListLabel1"/>
            <w:color w:val="0000FF"/>
          </w:rPr>
          <w:t>N 203-п</w:t>
        </w:r>
      </w:hyperlink>
      <w:r>
        <w:rPr/>
        <w:t>)</w:t>
      </w:r>
    </w:p>
    <w:p>
      <w:pPr>
        <w:pStyle w:val="ConsPlusNormal"/>
        <w:spacing w:before="220" w:after="0"/>
        <w:ind w:firstLine="540"/>
        <w:jc w:val="both"/>
        <w:rPr/>
      </w:pPr>
      <w:bookmarkStart w:id="1" w:name="P80"/>
      <w:bookmarkEnd w:id="1"/>
      <w:r>
        <w:rPr/>
        <w:t>5.2. Конкурс проводится по шести группам в зависимости от сферы деятельности организации:</w:t>
      </w:r>
    </w:p>
    <w:p>
      <w:pPr>
        <w:pStyle w:val="ConsPlusNormal"/>
        <w:spacing w:before="220" w:after="0"/>
        <w:ind w:firstLine="540"/>
        <w:jc w:val="both"/>
        <w:rPr/>
      </w:pPr>
      <w:r>
        <w:rPr/>
        <w:t>1-я группа - нефтегазодобывающая, нефтегазоперерабатывающая горнорудная, химическая, металлургическая промышленность;</w:t>
      </w:r>
    </w:p>
    <w:p>
      <w:pPr>
        <w:pStyle w:val="ConsPlusNormal"/>
        <w:jc w:val="both"/>
        <w:rPr/>
      </w:pPr>
      <w:r>
        <w:rPr/>
        <w:t xml:space="preserve">(в ред. </w:t>
      </w:r>
      <w:hyperlink r:id="rId30">
        <w:r>
          <w:rPr>
            <w:rStyle w:val="ListLabel1"/>
            <w:color w:val="0000FF"/>
          </w:rPr>
          <w:t>Постановления</w:t>
        </w:r>
      </w:hyperlink>
      <w:r>
        <w:rPr/>
        <w:t xml:space="preserve"> Правительства Пермского края от 27.10.2022 N 904-п)</w:t>
      </w:r>
    </w:p>
    <w:p>
      <w:pPr>
        <w:pStyle w:val="ConsPlusNormal"/>
        <w:spacing w:before="220" w:after="0"/>
        <w:ind w:firstLine="540"/>
        <w:jc w:val="both"/>
        <w:rPr/>
      </w:pPr>
      <w:r>
        <w:rPr/>
        <w:t>2-я группа - агропромышленный комплекс, лесозаготовительная и лесоперерабатывающая промышленность, в том числе целлюлозно-бумажная;</w:t>
      </w:r>
    </w:p>
    <w:p>
      <w:pPr>
        <w:pStyle w:val="ConsPlusNormal"/>
        <w:jc w:val="both"/>
        <w:rPr/>
      </w:pPr>
      <w:r>
        <w:rPr/>
        <w:t xml:space="preserve">(в ред. </w:t>
      </w:r>
      <w:hyperlink r:id="rId31">
        <w:r>
          <w:rPr>
            <w:rStyle w:val="ListLabel1"/>
            <w:color w:val="0000FF"/>
          </w:rPr>
          <w:t>Постановления</w:t>
        </w:r>
      </w:hyperlink>
      <w:r>
        <w:rPr/>
        <w:t xml:space="preserve"> Правительства Пермского края от 27.10.2022 N 904-п)</w:t>
      </w:r>
    </w:p>
    <w:p>
      <w:pPr>
        <w:pStyle w:val="ConsPlusNormal"/>
        <w:spacing w:before="220" w:after="0"/>
        <w:ind w:firstLine="540"/>
        <w:jc w:val="both"/>
        <w:rPr/>
      </w:pPr>
      <w:r>
        <w:rPr/>
        <w:t>3-я группа - транспорт, связь и энергетика;</w:t>
      </w:r>
    </w:p>
    <w:p>
      <w:pPr>
        <w:pStyle w:val="ConsPlusNormal"/>
        <w:spacing w:before="220" w:after="0"/>
        <w:ind w:firstLine="540"/>
        <w:jc w:val="both"/>
        <w:rPr/>
      </w:pPr>
      <w:r>
        <w:rPr/>
        <w:t>4-я группа - строительство, строительная индустрия, машиностроение;</w:t>
      </w:r>
    </w:p>
    <w:p>
      <w:pPr>
        <w:pStyle w:val="ConsPlusNormal"/>
        <w:jc w:val="both"/>
        <w:rPr/>
      </w:pPr>
      <w:r>
        <w:rPr/>
        <w:t xml:space="preserve">(в ред. </w:t>
      </w:r>
      <w:hyperlink r:id="rId32">
        <w:r>
          <w:rPr>
            <w:rStyle w:val="ListLabel1"/>
            <w:color w:val="0000FF"/>
          </w:rPr>
          <w:t>Постановления</w:t>
        </w:r>
      </w:hyperlink>
      <w:r>
        <w:rPr/>
        <w:t xml:space="preserve"> Правительства Пермского края от 27.10.2022 N 904-п)</w:t>
      </w:r>
    </w:p>
    <w:p>
      <w:pPr>
        <w:pStyle w:val="ConsPlusNormal"/>
        <w:spacing w:before="220" w:after="0"/>
        <w:ind w:firstLine="540"/>
        <w:jc w:val="both"/>
        <w:rPr/>
      </w:pPr>
      <w:r>
        <w:rPr/>
        <w:t>5-я группа - легкая промышленность и непроизводственная сфера;</w:t>
      </w:r>
    </w:p>
    <w:p>
      <w:pPr>
        <w:pStyle w:val="ConsPlusNormal"/>
        <w:spacing w:before="220" w:after="0"/>
        <w:ind w:firstLine="540"/>
        <w:jc w:val="both"/>
        <w:rPr/>
      </w:pPr>
      <w:r>
        <w:rPr/>
        <w:t>6-я группа - здравоохранение, образование, культура и спорт.</w:t>
      </w:r>
    </w:p>
    <w:p>
      <w:pPr>
        <w:pStyle w:val="ConsPlusNormal"/>
        <w:jc w:val="both"/>
        <w:rPr/>
      </w:pPr>
      <w:r>
        <w:rPr/>
        <w:t xml:space="preserve">(п. 5.2 в ред. </w:t>
      </w:r>
      <w:hyperlink r:id="rId33">
        <w:r>
          <w:rPr>
            <w:rStyle w:val="ListLabel1"/>
            <w:color w:val="0000FF"/>
          </w:rPr>
          <w:t>Постановления</w:t>
        </w:r>
      </w:hyperlink>
      <w:r>
        <w:rPr/>
        <w:t xml:space="preserve"> Правительства Пермского края от 02.11.2018 N 664-п)</w:t>
      </w:r>
    </w:p>
    <w:p>
      <w:pPr>
        <w:pStyle w:val="ConsPlusNormal"/>
        <w:spacing w:before="220" w:after="0"/>
        <w:ind w:firstLine="540"/>
        <w:jc w:val="both"/>
        <w:rPr/>
      </w:pPr>
      <w:r>
        <w:rPr/>
        <w:t xml:space="preserve">5.3. В 2024 году Министерство не позднее 15 апреля размещает информацию на официальном сайте в информационно-телекоммуникационной сети "Интернет" по адресу </w:t>
      </w:r>
      <w:hyperlink r:id="rId34">
        <w:r>
          <w:rPr>
            <w:rStyle w:val="ListLabel1"/>
            <w:color w:val="0000FF"/>
          </w:rPr>
          <w:t>minsoc.permkrai.ru</w:t>
        </w:r>
      </w:hyperlink>
      <w:r>
        <w:rPr/>
        <w:t xml:space="preserve"> и направляет информационные письма о проведении конкурса в органы местного самоуправления муниципальных образований Пермского края.</w:t>
      </w:r>
    </w:p>
    <w:p>
      <w:pPr>
        <w:pStyle w:val="ConsPlusNormal"/>
        <w:spacing w:before="220" w:after="0"/>
        <w:ind w:firstLine="540"/>
        <w:jc w:val="both"/>
        <w:rPr/>
      </w:pPr>
      <w:r>
        <w:rPr/>
        <w:t xml:space="preserve">В последующие годы размещение информации на официальном сайте в информационно-телекоммуникационной сети "Интернет" по адресу </w:t>
      </w:r>
      <w:hyperlink r:id="rId35">
        <w:r>
          <w:rPr>
            <w:rStyle w:val="ListLabel1"/>
            <w:color w:val="0000FF"/>
          </w:rPr>
          <w:t>minsoc.permkrai.ru</w:t>
        </w:r>
      </w:hyperlink>
      <w:r>
        <w:rPr/>
        <w:t xml:space="preserve"> и направление информационных писем о проведении конкурса в органы местного самоуправления муниципальных образований Пермского края осуществляются Министерством не позднее 01 февраля текущего года.</w:t>
      </w:r>
    </w:p>
    <w:p>
      <w:pPr>
        <w:pStyle w:val="ConsPlusNormal"/>
        <w:jc w:val="both"/>
        <w:rPr/>
      </w:pPr>
      <w:r>
        <w:rPr/>
        <w:t xml:space="preserve">(п. 5.3 в ред. </w:t>
      </w:r>
      <w:hyperlink r:id="rId36">
        <w:r>
          <w:rPr>
            <w:rStyle w:val="ListLabel1"/>
            <w:color w:val="0000FF"/>
          </w:rPr>
          <w:t>Постановления</w:t>
        </w:r>
      </w:hyperlink>
      <w:r>
        <w:rPr/>
        <w:t xml:space="preserve"> Правительства Пермского края от 09.04.2024 N 203-п)</w:t>
      </w:r>
    </w:p>
    <w:p>
      <w:pPr>
        <w:pStyle w:val="ConsPlusNormal"/>
        <w:spacing w:before="220" w:after="0"/>
        <w:ind w:firstLine="540"/>
        <w:jc w:val="both"/>
        <w:rPr/>
      </w:pPr>
      <w:bookmarkStart w:id="2" w:name="P94"/>
      <w:bookmarkEnd w:id="2"/>
      <w:r>
        <w:rPr/>
        <w:t xml:space="preserve">5.4. В 2024 году организации, желающие принять участие в конкурсе, направляют не позднее 30 апреля </w:t>
      </w:r>
      <w:hyperlink w:anchor="P251">
        <w:r>
          <w:rPr>
            <w:rStyle w:val="ListLabel1"/>
            <w:color w:val="0000FF"/>
          </w:rPr>
          <w:t>заявки</w:t>
        </w:r>
      </w:hyperlink>
      <w:r>
        <w:rPr/>
        <w:t xml:space="preserve"> в Министерство труда и социального развития Пермского края на участие в конкурсе на лучшую организацию работы по охране труда в Пермском крае по форме согласно приложению к настоящему Положению (далее - заявка).</w:t>
      </w:r>
    </w:p>
    <w:p>
      <w:pPr>
        <w:pStyle w:val="ConsPlusNormal"/>
        <w:spacing w:before="220" w:after="0"/>
        <w:ind w:firstLine="540"/>
        <w:jc w:val="both"/>
        <w:rPr/>
      </w:pPr>
      <w:r>
        <w:rPr/>
        <w:t>В последующие годы организации, желающие принять участие в конкурсе, направляют в адрес Министерства заявки не позднее 01 марта текущего года.</w:t>
      </w:r>
    </w:p>
    <w:p>
      <w:pPr>
        <w:pStyle w:val="ConsPlusNormal"/>
        <w:jc w:val="both"/>
        <w:rPr/>
      </w:pPr>
      <w:r>
        <w:rPr/>
        <w:t xml:space="preserve">(п. 5.4 в ред. </w:t>
      </w:r>
      <w:hyperlink r:id="rId37">
        <w:r>
          <w:rPr>
            <w:rStyle w:val="ListLabel1"/>
            <w:color w:val="0000FF"/>
          </w:rPr>
          <w:t>Постановления</w:t>
        </w:r>
      </w:hyperlink>
      <w:r>
        <w:rPr/>
        <w:t xml:space="preserve"> Правительства Пермского края от 09.04.2024 N 203-п)</w:t>
      </w:r>
    </w:p>
    <w:p>
      <w:pPr>
        <w:pStyle w:val="ConsPlusNormal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jc w:val="center"/>
        <w:outlineLvl w:val="1"/>
        <w:rPr/>
      </w:pPr>
      <w:r>
        <w:rPr/>
        <w:t>6. Порядок подведения итогов конкурса и поощрения</w:t>
      </w:r>
    </w:p>
    <w:p>
      <w:pPr>
        <w:pStyle w:val="ConsPlusTitle"/>
        <w:jc w:val="center"/>
        <w:rPr/>
      </w:pPr>
      <w:r>
        <w:rPr/>
        <w:t>победителей конкурса</w:t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  <w:t>6.1. Подведение итогов конкурса осуществляет комиссия по подведению итогов конкурса на лучшую организацию работы по охране труда в Пермском крае (далее - конкурсная комиссия, комиссия), состав которой утверждается распоряжением председателя Правительства Пермского края.</w:t>
      </w:r>
    </w:p>
    <w:p>
      <w:pPr>
        <w:pStyle w:val="ConsPlusNormal"/>
        <w:jc w:val="both"/>
        <w:rPr/>
      </w:pPr>
      <w:r>
        <w:rPr/>
        <w:t xml:space="preserve">(в ред. </w:t>
      </w:r>
      <w:hyperlink r:id="rId38">
        <w:r>
          <w:rPr>
            <w:rStyle w:val="ListLabel1"/>
            <w:color w:val="0000FF"/>
          </w:rPr>
          <w:t>Постановления</w:t>
        </w:r>
      </w:hyperlink>
      <w:r>
        <w:rPr/>
        <w:t xml:space="preserve"> Правительства Пермского края от 27.10.2022 N 904-п)</w:t>
      </w:r>
    </w:p>
    <w:p>
      <w:pPr>
        <w:pStyle w:val="ConsPlusNormal"/>
        <w:spacing w:before="220" w:after="0"/>
        <w:ind w:firstLine="540"/>
        <w:jc w:val="both"/>
        <w:rPr/>
      </w:pPr>
      <w:r>
        <w:rPr/>
        <w:t xml:space="preserve">6.2. Подведение итогов конкурса осуществляется в течение 30 дней со дня окончания срока предоставления заявок, указанного в </w:t>
      </w:r>
      <w:hyperlink w:anchor="P94">
        <w:r>
          <w:rPr>
            <w:rStyle w:val="ListLabel1"/>
            <w:color w:val="0000FF"/>
          </w:rPr>
          <w:t>пункте 5.4</w:t>
        </w:r>
      </w:hyperlink>
      <w:r>
        <w:rPr/>
        <w:t xml:space="preserve"> настоящего Положения, путем оценки показателей состояния условий и охраны труда.</w:t>
      </w:r>
    </w:p>
    <w:p>
      <w:pPr>
        <w:pStyle w:val="ConsPlusNormal"/>
        <w:spacing w:before="220" w:after="0"/>
        <w:ind w:firstLine="540"/>
        <w:jc w:val="both"/>
        <w:rPr/>
      </w:pPr>
      <w:r>
        <w:rPr/>
        <w:t>Министерство анализирует заявки участников конкурса и за 7 дней до заседания комиссии по подведению итогов конкурса направляет материалы членам комиссии.</w:t>
      </w:r>
    </w:p>
    <w:p>
      <w:pPr>
        <w:pStyle w:val="ConsPlusNormal"/>
        <w:jc w:val="both"/>
        <w:rPr/>
      </w:pPr>
      <w:r>
        <w:rPr/>
        <w:t xml:space="preserve">(абзац введен </w:t>
      </w:r>
      <w:hyperlink r:id="rId39">
        <w:r>
          <w:rPr>
            <w:rStyle w:val="ListLabel1"/>
            <w:color w:val="0000FF"/>
          </w:rPr>
          <w:t>Постановлением</w:t>
        </w:r>
      </w:hyperlink>
      <w:r>
        <w:rPr/>
        <w:t xml:space="preserve"> Правительства Пермского края от 16.01.2014 N 17-п)</w:t>
      </w:r>
    </w:p>
    <w:p>
      <w:pPr>
        <w:pStyle w:val="ConsPlusNormal"/>
        <w:spacing w:before="220" w:after="0"/>
        <w:ind w:firstLine="540"/>
        <w:jc w:val="both"/>
        <w:rPr/>
      </w:pPr>
      <w:r>
        <w:rPr/>
        <w:t>Члены комиссии за 2 дня до заседания комиссии направляют предложения по распределению призовых мест.</w:t>
      </w:r>
    </w:p>
    <w:p>
      <w:pPr>
        <w:pStyle w:val="ConsPlusNormal"/>
        <w:jc w:val="both"/>
        <w:rPr/>
      </w:pPr>
      <w:r>
        <w:rPr/>
        <w:t xml:space="preserve">(абзац введен </w:t>
      </w:r>
      <w:hyperlink r:id="rId40">
        <w:r>
          <w:rPr>
            <w:rStyle w:val="ListLabel1"/>
            <w:color w:val="0000FF"/>
          </w:rPr>
          <w:t>Постановлением</w:t>
        </w:r>
      </w:hyperlink>
      <w:r>
        <w:rPr/>
        <w:t xml:space="preserve"> Правительства Пермского края от 27.10.2022 N 904-п)</w:t>
      </w:r>
    </w:p>
    <w:p>
      <w:pPr>
        <w:pStyle w:val="ConsPlusNormal"/>
        <w:jc w:val="both"/>
        <w:rPr/>
      </w:pPr>
      <w:r>
        <w:rPr/>
        <w:t xml:space="preserve">(п. 6.2 в ред. </w:t>
      </w:r>
      <w:hyperlink r:id="rId41">
        <w:r>
          <w:rPr>
            <w:rStyle w:val="ListLabel1"/>
            <w:color w:val="0000FF"/>
          </w:rPr>
          <w:t>Постановления</w:t>
        </w:r>
      </w:hyperlink>
      <w:r>
        <w:rPr/>
        <w:t xml:space="preserve"> Правительства Пермского края от 10.01.2012 N 4-п)</w:t>
      </w:r>
    </w:p>
    <w:p>
      <w:pPr>
        <w:pStyle w:val="ConsPlusNormal"/>
        <w:spacing w:before="220" w:after="0"/>
        <w:ind w:firstLine="540"/>
        <w:jc w:val="both"/>
        <w:rPr/>
      </w:pPr>
      <w:r>
        <w:rPr/>
        <w:t>6.3. Оценка показателей состояния условий и охраны труда осуществляется конкурсной комиссией в баллах в соответствии с таблицей:</w:t>
      </w:r>
    </w:p>
    <w:p>
      <w:pPr>
        <w:pStyle w:val="ConsPlusNormal"/>
        <w:jc w:val="both"/>
        <w:rPr/>
      </w:pPr>
      <w:r>
        <w:rPr/>
      </w:r>
    </w:p>
    <w:tbl>
      <w:tblPr>
        <w:tblW w:w="9067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noHBand="0" w:noVBand="1" w:firstColumn="1" w:lastRow="0" w:lastColumn="0" w:firstRow="1"/>
      </w:tblPr>
      <w:tblGrid>
        <w:gridCol w:w="5948"/>
        <w:gridCol w:w="3118"/>
      </w:tblGrid>
      <w:tr>
        <w:trPr/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>Показатель состояния условий и охраны труда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>Количество баллов</w:t>
            </w:r>
          </w:p>
        </w:tc>
      </w:tr>
      <w:tr>
        <w:trPr/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>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>2</w:t>
            </w:r>
          </w:p>
        </w:tc>
      </w:tr>
      <w:tr>
        <w:trPr/>
        <w:tc>
          <w:tcPr>
            <w:tcW w:w="90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>1. Состояние условий труда</w:t>
            </w:r>
          </w:p>
        </w:tc>
      </w:tr>
      <w:tr>
        <w:trPr/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1.1. Расход средств на выполнение мероприятий по улучшению условий и охране труда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Более 0,2% суммы затрат на производство продукции (работ, услуг) - 10 баллов;</w:t>
            </w:r>
          </w:p>
          <w:p>
            <w:pPr>
              <w:pStyle w:val="ConsPlusNormal"/>
              <w:rPr/>
            </w:pPr>
            <w:r>
              <w:rPr/>
              <w:t>0,2% - 5 баллов;</w:t>
            </w:r>
          </w:p>
          <w:p>
            <w:pPr>
              <w:pStyle w:val="ConsPlusNormal"/>
              <w:rPr/>
            </w:pPr>
            <w:r>
              <w:rPr/>
              <w:t>менее 0,2% - 0 баллов</w:t>
            </w:r>
          </w:p>
        </w:tc>
      </w:tr>
      <w:tr>
        <w:trPr/>
        <w:tc>
          <w:tcPr>
            <w:tcW w:w="59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1.1.1. Использование финансового обеспечения предупредительных мер по сокращению производственного травматизма и профессиональных заболеваний работников, занятых на работах с вредными и (или) опасными производственными факторами, за счет средств уплаты страховых взносов в региональные отделения Фонда пенсионного и социального страхования Российской Федерации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100% - 10 баллов;</w:t>
            </w:r>
          </w:p>
          <w:p>
            <w:pPr>
              <w:pStyle w:val="ConsPlusNormal"/>
              <w:rPr/>
            </w:pPr>
            <w:r>
              <w:rPr/>
              <w:t>от 50 до 99% - 5 баллов;</w:t>
            </w:r>
          </w:p>
          <w:p>
            <w:pPr>
              <w:pStyle w:val="ConsPlusNormal"/>
              <w:rPr/>
            </w:pPr>
            <w:r>
              <w:rPr/>
              <w:t>отсутствие - 0 баллов</w:t>
            </w:r>
          </w:p>
        </w:tc>
      </w:tr>
      <w:tr>
        <w:trPr/>
        <w:tc>
          <w:tcPr>
            <w:tcW w:w="906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both"/>
              <w:rPr/>
            </w:pPr>
            <w:r>
              <w:rPr/>
              <w:t xml:space="preserve">(п. 1.1.1 в ред. </w:t>
            </w:r>
            <w:hyperlink r:id="rId42">
              <w:r>
                <w:rPr>
                  <w:rStyle w:val="ListLabel1"/>
                  <w:color w:val="0000FF"/>
                </w:rPr>
                <w:t>Постановления</w:t>
              </w:r>
            </w:hyperlink>
            <w:r>
              <w:rPr/>
              <w:t xml:space="preserve"> Правительства Пермского края от 09.04.2024 N 203-п)</w:t>
            </w:r>
          </w:p>
        </w:tc>
      </w:tr>
      <w:tr>
        <w:trPr/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1.2. Количество выполненных мероприятий по охране труда, предусмотренных коллективным договором (соглашением)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Выполнение всех предусмотренных коллективным договором (соглашением) мероприятий по охране труда - 10 баллов;</w:t>
            </w:r>
          </w:p>
          <w:p>
            <w:pPr>
              <w:pStyle w:val="ConsPlusNormal"/>
              <w:rPr/>
            </w:pPr>
            <w:r>
              <w:rPr/>
              <w:t>от 70 до 99% предусмотренных коллективным договором (соглашением) мероприятий по охране труда - 5 баллов;</w:t>
            </w:r>
          </w:p>
          <w:p>
            <w:pPr>
              <w:pStyle w:val="ConsPlusNormal"/>
              <w:rPr/>
            </w:pPr>
            <w:r>
              <w:rPr/>
              <w:t>менее 70% - 0 баллов</w:t>
            </w:r>
          </w:p>
        </w:tc>
      </w:tr>
      <w:tr>
        <w:trPr/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1.3. Количество рабочих мест, на которых проведена специальная оценка условий труда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100% - 10 баллов;</w:t>
            </w:r>
          </w:p>
          <w:p>
            <w:pPr>
              <w:pStyle w:val="ConsPlusNormal"/>
              <w:rPr/>
            </w:pPr>
            <w:r>
              <w:rPr/>
              <w:t>от 80 до 99% - 5 баллов;</w:t>
            </w:r>
          </w:p>
          <w:p>
            <w:pPr>
              <w:pStyle w:val="ConsPlusNormal"/>
              <w:rPr/>
            </w:pPr>
            <w:r>
              <w:rPr/>
              <w:t>менее 80% - 0 баллов</w:t>
            </w:r>
          </w:p>
        </w:tc>
      </w:tr>
      <w:tr>
        <w:trPr/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1.4. Количество работников, обеспеченных сертифицированными средствами индивидуальной защиты в соответствии с установленными нормами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100% - 10 баллов;</w:t>
            </w:r>
          </w:p>
          <w:p>
            <w:pPr>
              <w:pStyle w:val="ConsPlusNormal"/>
              <w:rPr/>
            </w:pPr>
            <w:r>
              <w:rPr/>
              <w:t>менее 100% - 0 баллов</w:t>
            </w:r>
          </w:p>
        </w:tc>
      </w:tr>
      <w:tr>
        <w:trPr/>
        <w:tc>
          <w:tcPr>
            <w:tcW w:w="90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>2. Система управления охраной труда</w:t>
            </w:r>
          </w:p>
        </w:tc>
      </w:tr>
      <w:tr>
        <w:trPr/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2.1. Наличие службы охраны труда в соответствии с нормативной численностью работников службы охраны труда (с приложением расчета численности специалистов по охране труда и выкопировки из штатного расписания)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Соответствует - 10 баллов;</w:t>
            </w:r>
          </w:p>
          <w:p>
            <w:pPr>
              <w:pStyle w:val="ConsPlusNormal"/>
              <w:rPr/>
            </w:pPr>
            <w:r>
              <w:rPr/>
              <w:t>не полностью соответствует - 5 баллов;</w:t>
            </w:r>
          </w:p>
          <w:p>
            <w:pPr>
              <w:pStyle w:val="ConsPlusNormal"/>
              <w:rPr/>
            </w:pPr>
            <w:r>
              <w:rPr/>
              <w:t>отсутствует - 0 баллов</w:t>
            </w:r>
          </w:p>
        </w:tc>
      </w:tr>
      <w:tr>
        <w:trPr/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2.2. Наличие кабинета или уголка по охране труда в соответствии с численностью работников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Наличие - 5 баллов;</w:t>
            </w:r>
          </w:p>
          <w:p>
            <w:pPr>
              <w:pStyle w:val="ConsPlusNormal"/>
              <w:rPr/>
            </w:pPr>
            <w:r>
              <w:rPr/>
              <w:t>отсутствие - 0 баллов</w:t>
            </w:r>
          </w:p>
        </w:tc>
      </w:tr>
      <w:tr>
        <w:trPr/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 xml:space="preserve">2.3. Наличие комитета (комиссии) по охране труда в соответствии со </w:t>
            </w:r>
            <w:hyperlink r:id="rId43">
              <w:r>
                <w:rPr>
                  <w:rStyle w:val="ListLabel1"/>
                  <w:color w:val="0000FF"/>
                </w:rPr>
                <w:t>статьей 224</w:t>
              </w:r>
            </w:hyperlink>
            <w:r>
              <w:rPr/>
              <w:t xml:space="preserve"> Трудового кодекса Российской Федерации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Наличие - 5 баллов;</w:t>
            </w:r>
          </w:p>
          <w:p>
            <w:pPr>
              <w:pStyle w:val="ConsPlusNormal"/>
              <w:rPr/>
            </w:pPr>
            <w:r>
              <w:rPr/>
              <w:t>отсутствие - 0 баллов</w:t>
            </w:r>
          </w:p>
        </w:tc>
      </w:tr>
      <w:tr>
        <w:trPr/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2.4. Количество работников организации, прошедших обучение по охране труда и проверку знания требований охраны труда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100% - 10 баллов;</w:t>
            </w:r>
          </w:p>
          <w:p>
            <w:pPr>
              <w:pStyle w:val="ConsPlusNormal"/>
              <w:rPr/>
            </w:pPr>
            <w:r>
              <w:rPr/>
              <w:t>от 80 до 99% - 5 баллов;</w:t>
            </w:r>
          </w:p>
          <w:p>
            <w:pPr>
              <w:pStyle w:val="ConsPlusNormal"/>
              <w:rPr/>
            </w:pPr>
            <w:r>
              <w:rPr/>
              <w:t>менее 80% - 0 баллов</w:t>
            </w:r>
          </w:p>
        </w:tc>
      </w:tr>
      <w:tr>
        <w:trPr/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2.5. Наличие уполномоченных (доверенных) лиц по охране труда профсоюза или трудового коллектива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1 и более - 10 баллов;</w:t>
            </w:r>
          </w:p>
          <w:p>
            <w:pPr>
              <w:pStyle w:val="ConsPlusNormal"/>
              <w:rPr/>
            </w:pPr>
            <w:r>
              <w:rPr/>
              <w:t>отсутствие - 0 баллов</w:t>
            </w:r>
          </w:p>
        </w:tc>
      </w:tr>
      <w:tr>
        <w:trPr/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2.6. Количество выполненных мероприятий, предусмотренных программой производственного контроля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100% - 10 баллов;</w:t>
            </w:r>
          </w:p>
          <w:p>
            <w:pPr>
              <w:pStyle w:val="ConsPlusNormal"/>
              <w:rPr/>
            </w:pPr>
            <w:r>
              <w:rPr/>
              <w:t>от 70 до 99% - 5 баллов;</w:t>
            </w:r>
          </w:p>
          <w:p>
            <w:pPr>
              <w:pStyle w:val="ConsPlusNormal"/>
              <w:rPr/>
            </w:pPr>
            <w:r>
              <w:rPr/>
              <w:t>менее 70% - 0 баллов</w:t>
            </w:r>
          </w:p>
        </w:tc>
      </w:tr>
      <w:tr>
        <w:trPr/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2.7. Охват работников вакцинацией против гриппа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Более 80% - 15 баллов;</w:t>
            </w:r>
          </w:p>
          <w:p>
            <w:pPr>
              <w:pStyle w:val="ConsPlusNormal"/>
              <w:rPr/>
            </w:pPr>
            <w:r>
              <w:rPr/>
              <w:t>от 50 до 80% - 10 баллов;</w:t>
            </w:r>
          </w:p>
          <w:p>
            <w:pPr>
              <w:pStyle w:val="ConsPlusNormal"/>
              <w:rPr/>
            </w:pPr>
            <w:r>
              <w:rPr/>
              <w:t>менее 50% - 0 баллов</w:t>
            </w:r>
          </w:p>
        </w:tc>
      </w:tr>
      <w:tr>
        <w:trPr/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2.8. Охват работников вакцинацией против инфекционных заболеваний, актуальных для региона, включенных в национальный календарь профилактических прививок по эпидемическим заболеваниям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100% - 10 баллов;</w:t>
            </w:r>
          </w:p>
          <w:p>
            <w:pPr>
              <w:pStyle w:val="ConsPlusNormal"/>
              <w:rPr/>
            </w:pPr>
            <w:r>
              <w:rPr/>
              <w:t>от 80 до 99% - 5 баллов;</w:t>
            </w:r>
          </w:p>
          <w:p>
            <w:pPr>
              <w:pStyle w:val="ConsPlusNormal"/>
              <w:rPr/>
            </w:pPr>
            <w:r>
              <w:rPr/>
              <w:t>менее 80% - 0 баллов</w:t>
            </w:r>
          </w:p>
        </w:tc>
      </w:tr>
      <w:tr>
        <w:trPr/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2.9. Охват работников ежегодным флюорографическим осмотром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100% - 10 баллов;</w:t>
            </w:r>
          </w:p>
          <w:p>
            <w:pPr>
              <w:pStyle w:val="ConsPlusNormal"/>
              <w:rPr/>
            </w:pPr>
            <w:r>
              <w:rPr/>
              <w:t>от 80 до 99% - 5 баллов;</w:t>
            </w:r>
          </w:p>
          <w:p>
            <w:pPr>
              <w:pStyle w:val="ConsPlusNormal"/>
              <w:rPr/>
            </w:pPr>
            <w:r>
              <w:rPr/>
              <w:t>менее 80% - 0 баллов</w:t>
            </w:r>
          </w:p>
        </w:tc>
      </w:tr>
      <w:tr>
        <w:trPr/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2.10. Наличие программы (плана мероприятий) по профилактике ВИЧ/СПИДа на рабочих местах</w:t>
            </w:r>
          </w:p>
          <w:p>
            <w:pPr>
              <w:pStyle w:val="ConsPlusNormal"/>
              <w:rPr/>
            </w:pPr>
            <w:r>
              <w:rPr/>
              <w:t>(с приложением копии приказа об утверждении программы)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both"/>
              <w:rPr/>
            </w:pPr>
            <w:r>
              <w:rPr/>
              <w:t>Наличие - 10 баллов;</w:t>
            </w:r>
          </w:p>
          <w:p>
            <w:pPr>
              <w:pStyle w:val="ConsPlusNormal"/>
              <w:rPr/>
            </w:pPr>
            <w:r>
              <w:rPr/>
              <w:t>отсутствие - 0 баллов</w:t>
            </w:r>
          </w:p>
        </w:tc>
      </w:tr>
      <w:tr>
        <w:trPr/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2.11. Наличие программы (мероприятий) по профилактике сердечно-сосудистых заболеваний среди работников</w:t>
            </w:r>
          </w:p>
          <w:p>
            <w:pPr>
              <w:pStyle w:val="ConsPlusNormal"/>
              <w:rPr/>
            </w:pPr>
            <w:r>
              <w:rPr/>
              <w:t>(с приложением копии приказа об утверждении программы)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both"/>
              <w:rPr/>
            </w:pPr>
            <w:r>
              <w:rPr/>
              <w:t>Наличие - 10 баллов;</w:t>
            </w:r>
          </w:p>
          <w:p>
            <w:pPr>
              <w:pStyle w:val="ConsPlusNormal"/>
              <w:jc w:val="both"/>
              <w:rPr/>
            </w:pPr>
            <w:r>
              <w:rPr/>
              <w:t>отсутствие - 0 баллов</w:t>
            </w:r>
          </w:p>
        </w:tc>
      </w:tr>
      <w:tr>
        <w:trPr/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2.12. Наличие программы (мероприятий) по оздоровлению работников</w:t>
            </w:r>
          </w:p>
          <w:p>
            <w:pPr>
              <w:pStyle w:val="ConsPlusNormal"/>
              <w:rPr/>
            </w:pPr>
            <w:r>
              <w:rPr/>
              <w:t>(с приложением копии приказа об утверждении программы)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both"/>
              <w:rPr/>
            </w:pPr>
            <w:r>
              <w:rPr/>
              <w:t>Наличие - 10 баллов;</w:t>
            </w:r>
          </w:p>
          <w:p>
            <w:pPr>
              <w:pStyle w:val="ConsPlusNormal"/>
              <w:jc w:val="both"/>
              <w:rPr/>
            </w:pPr>
            <w:r>
              <w:rPr/>
              <w:t>отсутствие - 0 баллов</w:t>
            </w:r>
          </w:p>
        </w:tc>
      </w:tr>
      <w:tr>
        <w:trPr/>
        <w:tc>
          <w:tcPr>
            <w:tcW w:w="90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>3. Состояние травматизма и профессиональной заболеваемости</w:t>
            </w:r>
          </w:p>
        </w:tc>
      </w:tr>
      <w:tr>
        <w:trPr/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3.1. Наличие несчастных случаев на производстве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Отсутствие несчастных случаев на производстве в текущем и предшествующем году - 20 баллов</w:t>
            </w:r>
          </w:p>
        </w:tc>
      </w:tr>
      <w:tr>
        <w:trPr/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3.2. Снижение коэффициента частоты травматизма (далее - Кч) в сравнении с предыдущим годом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10 баллов</w:t>
            </w:r>
          </w:p>
        </w:tc>
      </w:tr>
      <w:tr>
        <w:trPr/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3.3. Увеличение Кч в сравнении с предыдущим годом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Снимается 10 баллов</w:t>
            </w:r>
          </w:p>
        </w:tc>
      </w:tr>
      <w:tr>
        <w:trPr/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3.4. Снижение коэффициента тяжести травматизма (далее - Кт) в сравнении с предыдущим годом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10 баллов</w:t>
            </w:r>
          </w:p>
        </w:tc>
      </w:tr>
      <w:tr>
        <w:trPr/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3.5. Увеличение Кт в сравнении с предыдущим годом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Снимается 10 баллов</w:t>
            </w:r>
          </w:p>
        </w:tc>
      </w:tr>
      <w:tr>
        <w:trPr/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3.6. Наличие пожаров и аварий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Отсутствие пожаров, аварий - 10 баллов;</w:t>
            </w:r>
          </w:p>
          <w:p>
            <w:pPr>
              <w:pStyle w:val="ConsPlusNormal"/>
              <w:rPr/>
            </w:pPr>
            <w:r>
              <w:rPr/>
              <w:t>за каждый случай снимается 10 баллов</w:t>
            </w:r>
          </w:p>
        </w:tc>
      </w:tr>
      <w:tr>
        <w:trPr/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3.7. Количество выявленных в результате проверок нарушений по условиям и охране труда, проведенных в текущем году органами государственного надзора и контроля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Отсутствие - 10 баллов;</w:t>
            </w:r>
          </w:p>
          <w:p>
            <w:pPr>
              <w:pStyle w:val="ConsPlusNormal"/>
              <w:rPr/>
            </w:pPr>
            <w:r>
              <w:rPr/>
              <w:t>до 10 нарушений - 5 баллов;</w:t>
            </w:r>
          </w:p>
          <w:p>
            <w:pPr>
              <w:pStyle w:val="ConsPlusNormal"/>
              <w:rPr/>
            </w:pPr>
            <w:r>
              <w:rPr/>
              <w:t>более 10 нарушений - снимается 10 баллов</w:t>
            </w:r>
          </w:p>
        </w:tc>
      </w:tr>
      <w:tr>
        <w:trPr/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3.8. Наличие профессиональных заболеваний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Отсутствие профессиональных заболеваний на производстве в текущем и предшествующем году - 20 баллов</w:t>
            </w:r>
          </w:p>
        </w:tc>
      </w:tr>
      <w:tr>
        <w:trPr/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3.8.1. Снижение коэффициента частоты профзаболеваний (далее - Кп) в сравнении с предыдущим годом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10 баллов</w:t>
            </w:r>
          </w:p>
        </w:tc>
      </w:tr>
      <w:tr>
        <w:trPr/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3.8.2. Увеличение Кп в сравнении с предыдущим годом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Снимается 10 баллов</w:t>
            </w:r>
          </w:p>
        </w:tc>
      </w:tr>
      <w:tr>
        <w:trPr/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3.9. Количество работников, прошедших периодические медицинские осмотры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100% - 10 баллов;</w:t>
            </w:r>
          </w:p>
          <w:p>
            <w:pPr>
              <w:pStyle w:val="ConsPlusNormal"/>
              <w:rPr/>
            </w:pPr>
            <w:r>
              <w:rPr/>
              <w:t>80-99% - 0 баллов;</w:t>
            </w:r>
          </w:p>
          <w:p>
            <w:pPr>
              <w:pStyle w:val="ConsPlusNormal"/>
              <w:rPr/>
            </w:pPr>
            <w:r>
              <w:rPr/>
              <w:t>менее 80% - снимается 10 баллов</w:t>
            </w:r>
          </w:p>
        </w:tc>
      </w:tr>
    </w:tbl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  <w:t xml:space="preserve">(таблица в ред. </w:t>
      </w:r>
      <w:hyperlink r:id="rId44">
        <w:r>
          <w:rPr>
            <w:rStyle w:val="ListLabel1"/>
            <w:color w:val="0000FF"/>
          </w:rPr>
          <w:t>Постановления</w:t>
        </w:r>
      </w:hyperlink>
      <w:r>
        <w:rPr/>
        <w:t xml:space="preserve"> Правительства Пермского края от 27.10.2022 N 904-п)</w:t>
      </w:r>
    </w:p>
    <w:p>
      <w:pPr>
        <w:pStyle w:val="ConsPlusNormal"/>
        <w:jc w:val="both"/>
        <w:rPr/>
      </w:pPr>
      <w:r>
        <w:rPr/>
        <w:t xml:space="preserve">(п. 6.3 в ред. </w:t>
      </w:r>
      <w:hyperlink r:id="rId45">
        <w:r>
          <w:rPr>
            <w:rStyle w:val="ListLabel1"/>
            <w:color w:val="0000FF"/>
          </w:rPr>
          <w:t>Постановления</w:t>
        </w:r>
      </w:hyperlink>
      <w:r>
        <w:rPr/>
        <w:t xml:space="preserve"> Правительства Пермского края от 10.01.2012 N 4-п)</w:t>
      </w:r>
    </w:p>
    <w:p>
      <w:pPr>
        <w:pStyle w:val="ConsPlusNonformat"/>
        <w:spacing w:before="200" w:after="0"/>
        <w:jc w:val="both"/>
        <w:rPr/>
      </w:pPr>
      <w:r>
        <w:rPr/>
        <w:t xml:space="preserve">       </w:t>
      </w:r>
      <w:r>
        <w:rPr/>
        <w:t>1</w:t>
      </w:r>
    </w:p>
    <w:p>
      <w:pPr>
        <w:pStyle w:val="ConsPlusNonformat"/>
        <w:jc w:val="both"/>
        <w:rPr/>
      </w:pPr>
      <w:r>
        <w:rPr/>
        <w:t xml:space="preserve">    </w:t>
      </w:r>
      <w:r>
        <w:rPr/>
        <w:t>6.3 .  Заявки, представленные после истечения срока или не  оформленные</w:t>
      </w:r>
    </w:p>
    <w:p>
      <w:pPr>
        <w:pStyle w:val="ConsPlusNonformat"/>
        <w:jc w:val="both"/>
        <w:rPr/>
      </w:pPr>
      <w:r>
        <w:rPr/>
        <w:t>надлежащим  образом,  не  рассматриваются,  о  чем  заявитель  уведомляется</w:t>
      </w:r>
    </w:p>
    <w:p>
      <w:pPr>
        <w:pStyle w:val="ConsPlusNonformat"/>
        <w:jc w:val="both"/>
        <w:rPr/>
      </w:pPr>
      <w:r>
        <w:rPr/>
        <w:t>в течение 5 рабочих дней со дня поступления заявки.</w:t>
      </w:r>
    </w:p>
    <w:p>
      <w:pPr>
        <w:pStyle w:val="ConsPlusNonformat"/>
        <w:jc w:val="both"/>
        <w:rPr/>
      </w:pPr>
      <w:r>
        <w:rPr/>
        <w:t xml:space="preserve">(в ред. Постановлений Правительства Пермского  края  от  25.01.2010 </w:t>
      </w:r>
      <w:hyperlink r:id="rId46">
        <w:r>
          <w:rPr>
            <w:rStyle w:val="ListLabel1"/>
            <w:color w:val="0000FF"/>
          </w:rPr>
          <w:t>N 21-п</w:t>
        </w:r>
      </w:hyperlink>
      <w:r>
        <w:rPr/>
        <w:t>,</w:t>
      </w:r>
    </w:p>
    <w:p>
      <w:pPr>
        <w:pStyle w:val="ConsPlusNonformat"/>
        <w:jc w:val="both"/>
        <w:rPr/>
      </w:pPr>
      <w:r>
        <w:rPr/>
        <w:t xml:space="preserve">от 16.01.2014 </w:t>
      </w:r>
      <w:hyperlink r:id="rId47">
        <w:r>
          <w:rPr>
            <w:rStyle w:val="ListLabel1"/>
            <w:color w:val="0000FF"/>
          </w:rPr>
          <w:t>N 17-п</w:t>
        </w:r>
      </w:hyperlink>
      <w:r>
        <w:rPr/>
        <w:t>)</w:t>
      </w:r>
    </w:p>
    <w:p>
      <w:pPr>
        <w:pStyle w:val="ConsPlusNonformat"/>
        <w:jc w:val="both"/>
        <w:rPr/>
      </w:pPr>
      <w:r>
        <w:rPr/>
        <w:t xml:space="preserve">       </w:t>
      </w:r>
      <w:r>
        <w:rPr/>
        <w:t>2</w:t>
      </w:r>
    </w:p>
    <w:p>
      <w:pPr>
        <w:pStyle w:val="ConsPlusNonformat"/>
        <w:jc w:val="both"/>
        <w:rPr/>
      </w:pPr>
      <w:r>
        <w:rPr/>
        <w:t xml:space="preserve">    </w:t>
      </w:r>
      <w:r>
        <w:rPr/>
        <w:t>6.3 .   За    достоверность   представленных    организацией   сведений</w:t>
      </w:r>
    </w:p>
    <w:p>
      <w:pPr>
        <w:pStyle w:val="ConsPlusNonformat"/>
        <w:jc w:val="both"/>
        <w:rPr/>
      </w:pPr>
      <w:r>
        <w:rPr/>
        <w:t>ответственность несет ее руководитель.</w:t>
      </w:r>
    </w:p>
    <w:p>
      <w:pPr>
        <w:pStyle w:val="ConsPlusNonformat"/>
        <w:jc w:val="both"/>
        <w:rPr/>
      </w:pPr>
      <w:r>
        <w:rPr/>
        <w:t xml:space="preserve">       </w:t>
      </w:r>
      <w:r>
        <w:rPr/>
        <w:t>2</w:t>
      </w:r>
    </w:p>
    <w:p>
      <w:pPr>
        <w:pStyle w:val="ConsPlusNonformat"/>
        <w:jc w:val="both"/>
        <w:rPr/>
      </w:pPr>
      <w:r>
        <w:rPr/>
        <w:t xml:space="preserve">(п. 6.3  введен </w:t>
      </w:r>
      <w:hyperlink r:id="rId48">
        <w:r>
          <w:rPr>
            <w:rStyle w:val="ListLabel1"/>
            <w:color w:val="0000FF"/>
          </w:rPr>
          <w:t>Постановлением</w:t>
        </w:r>
      </w:hyperlink>
      <w:r>
        <w:rPr/>
        <w:t xml:space="preserve"> Правительства Пермского края  от  17.03.2009</w:t>
      </w:r>
    </w:p>
    <w:p>
      <w:pPr>
        <w:pStyle w:val="ConsPlusNonformat"/>
        <w:jc w:val="both"/>
        <w:rPr/>
      </w:pPr>
      <w:r>
        <w:rPr/>
        <w:t>N 154-п)</w:t>
      </w:r>
    </w:p>
    <w:p>
      <w:pPr>
        <w:pStyle w:val="ConsPlusNormal"/>
        <w:ind w:firstLine="540"/>
        <w:jc w:val="both"/>
        <w:rPr/>
      </w:pPr>
      <w:r>
        <w:rPr/>
        <w:t xml:space="preserve">6.4. Победители конкурса выбираются по каждой группе, указанной в </w:t>
      </w:r>
      <w:hyperlink w:anchor="P80">
        <w:r>
          <w:rPr>
            <w:rStyle w:val="ListLabel1"/>
            <w:color w:val="0000FF"/>
          </w:rPr>
          <w:t>пункте 5.2</w:t>
        </w:r>
      </w:hyperlink>
      <w:r>
        <w:rPr/>
        <w:t xml:space="preserve"> настоящего Положения. Победителем конкурса признается участник, набравший наибольшее количество баллов.</w:t>
      </w:r>
    </w:p>
    <w:p>
      <w:pPr>
        <w:pStyle w:val="ConsPlusNormal"/>
        <w:spacing w:before="220" w:after="0"/>
        <w:ind w:firstLine="540"/>
        <w:jc w:val="both"/>
        <w:rPr/>
      </w:pPr>
      <w:r>
        <w:rPr/>
        <w:t xml:space="preserve">6.5. При равном количестве баллов, набранных участниками конкурса из одной группы, указанной в </w:t>
      </w:r>
      <w:hyperlink w:anchor="P80">
        <w:r>
          <w:rPr>
            <w:rStyle w:val="ListLabel1"/>
            <w:color w:val="0000FF"/>
          </w:rPr>
          <w:t>пункте 5.2</w:t>
        </w:r>
      </w:hyperlink>
      <w:r>
        <w:rPr/>
        <w:t xml:space="preserve"> настоящего Положения, решение о победителе конкурса принимается конкурсной комиссией путем открытого голосования. В случае равенства голосов решающим является голос председательствующего.</w:t>
      </w:r>
    </w:p>
    <w:p>
      <w:pPr>
        <w:pStyle w:val="ConsPlusNormal"/>
        <w:spacing w:before="220" w:after="0"/>
        <w:ind w:firstLine="540"/>
        <w:jc w:val="both"/>
        <w:rPr/>
      </w:pPr>
      <w:r>
        <w:rPr/>
        <w:t>В случае если в конкурсе участвовала только одна организация по группе, по решению комиссии по подведению итогов конкурса оставшиеся призовые места могут быть перераспределены в другие группы.</w:t>
      </w:r>
    </w:p>
    <w:p>
      <w:pPr>
        <w:pStyle w:val="ConsPlusNormal"/>
        <w:jc w:val="both"/>
        <w:rPr/>
      </w:pPr>
      <w:r>
        <w:rPr/>
        <w:t xml:space="preserve">(абзац введен </w:t>
      </w:r>
      <w:hyperlink r:id="rId49">
        <w:r>
          <w:rPr>
            <w:rStyle w:val="ListLabel1"/>
            <w:color w:val="0000FF"/>
          </w:rPr>
          <w:t>Постановлением</w:t>
        </w:r>
      </w:hyperlink>
      <w:r>
        <w:rPr/>
        <w:t xml:space="preserve"> Правительства Пермского края от 02.11.2018 N 664-п)</w:t>
      </w:r>
    </w:p>
    <w:p>
      <w:pPr>
        <w:pStyle w:val="ConsPlusNormal"/>
        <w:spacing w:before="220" w:after="0"/>
        <w:ind w:firstLine="540"/>
        <w:jc w:val="both"/>
        <w:rPr/>
      </w:pPr>
      <w:r>
        <w:rPr/>
        <w:t>Решение о победителях конкурса оформляется Протоколом конкурсной комиссии, в котором указываются победители конкурса, занявшие призовые места, по каждой группе.</w:t>
      </w:r>
    </w:p>
    <w:p>
      <w:pPr>
        <w:pStyle w:val="ConsPlusNormal"/>
        <w:jc w:val="both"/>
        <w:rPr/>
      </w:pPr>
      <w:r>
        <w:rPr/>
        <w:t xml:space="preserve">(абзац введен </w:t>
      </w:r>
      <w:hyperlink r:id="rId50">
        <w:r>
          <w:rPr>
            <w:rStyle w:val="ListLabel1"/>
            <w:color w:val="0000FF"/>
          </w:rPr>
          <w:t>Постановлением</w:t>
        </w:r>
      </w:hyperlink>
      <w:r>
        <w:rPr/>
        <w:t xml:space="preserve"> Правительства Пермского края от 16.01.2014 N 17-п)</w:t>
      </w:r>
    </w:p>
    <w:p>
      <w:pPr>
        <w:pStyle w:val="ConsPlusNormal"/>
        <w:spacing w:before="220" w:after="0"/>
        <w:ind w:firstLine="540"/>
        <w:jc w:val="both"/>
        <w:rPr/>
      </w:pPr>
      <w:r>
        <w:rPr/>
        <w:t>6.6. Организации, занявшие по итогам конкурса 1-е, 2-е и 3-е места, награждаются заместителем председателя Правительства Пермского края благодарственными письмами и призами.</w:t>
      </w:r>
    </w:p>
    <w:p>
      <w:pPr>
        <w:pStyle w:val="ConsPlusNormal"/>
        <w:jc w:val="both"/>
        <w:rPr/>
      </w:pPr>
      <w:r>
        <w:rPr/>
        <w:t xml:space="preserve">(в ред. </w:t>
      </w:r>
      <w:hyperlink r:id="rId51">
        <w:r>
          <w:rPr>
            <w:rStyle w:val="ListLabel1"/>
            <w:color w:val="0000FF"/>
          </w:rPr>
          <w:t>Постановления</w:t>
        </w:r>
      </w:hyperlink>
      <w:r>
        <w:rPr/>
        <w:t xml:space="preserve"> Правительства Пермского края от 25.01.2010 N 21-п)</w:t>
      </w:r>
    </w:p>
    <w:p>
      <w:pPr>
        <w:pStyle w:val="ConsPlusNormal"/>
        <w:spacing w:before="220" w:after="0"/>
        <w:ind w:firstLine="540"/>
        <w:jc w:val="both"/>
        <w:rPr/>
      </w:pPr>
      <w:r>
        <w:rPr/>
        <w:t xml:space="preserve">6.7. Утратил силу. - </w:t>
      </w:r>
      <w:hyperlink r:id="rId52">
        <w:r>
          <w:rPr>
            <w:rStyle w:val="ListLabel1"/>
            <w:color w:val="0000FF"/>
          </w:rPr>
          <w:t>Постановление</w:t>
        </w:r>
      </w:hyperlink>
      <w:r>
        <w:rPr/>
        <w:t xml:space="preserve"> Правительства Пермского края от 16.01.2014 N 17-п.</w:t>
      </w:r>
    </w:p>
    <w:p>
      <w:pPr>
        <w:pStyle w:val="ConsPlusNormal"/>
        <w:spacing w:before="220" w:after="0"/>
        <w:ind w:firstLine="540"/>
        <w:jc w:val="both"/>
        <w:rPr/>
      </w:pPr>
      <w:r>
        <w:rPr/>
        <w:t>6.8. Информация о победителях конкурса размещается на сайте Министерства в течение 15 дней со дня подведения итогов конкурса.</w:t>
      </w:r>
    </w:p>
    <w:p>
      <w:pPr>
        <w:pStyle w:val="ConsPlusNormal"/>
        <w:jc w:val="both"/>
        <w:rPr/>
      </w:pPr>
      <w:r>
        <w:rPr/>
        <w:t xml:space="preserve">(п. 6.8 введен </w:t>
      </w:r>
      <w:hyperlink r:id="rId53">
        <w:r>
          <w:rPr>
            <w:rStyle w:val="ListLabel1"/>
            <w:color w:val="0000FF"/>
          </w:rPr>
          <w:t>Постановлением</w:t>
        </w:r>
      </w:hyperlink>
      <w:r>
        <w:rPr/>
        <w:t xml:space="preserve"> Правительства Пермского края от 10.01.2012 N 4-п)</w:t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numPr>
          <w:ilvl w:val="0"/>
          <w:numId w:val="0"/>
        </w:numPr>
        <w:jc w:val="right"/>
        <w:outlineLvl w:val="1"/>
        <w:rPr/>
      </w:pPr>
      <w:r>
        <w:rPr/>
        <w:t>Приложение</w:t>
      </w:r>
    </w:p>
    <w:p>
      <w:pPr>
        <w:pStyle w:val="ConsPlusNormal"/>
        <w:jc w:val="right"/>
        <w:rPr/>
      </w:pPr>
      <w:r>
        <w:rPr/>
        <w:t>к Положению</w:t>
      </w:r>
    </w:p>
    <w:p>
      <w:pPr>
        <w:pStyle w:val="ConsPlusNormal"/>
        <w:jc w:val="right"/>
        <w:rPr/>
      </w:pPr>
      <w:r>
        <w:rPr/>
        <w:t>о конкурсе на лучшую организацию</w:t>
      </w:r>
    </w:p>
    <w:p>
      <w:pPr>
        <w:pStyle w:val="ConsPlusNormal"/>
        <w:jc w:val="right"/>
        <w:rPr/>
      </w:pPr>
      <w:r>
        <w:rPr/>
        <w:t>работы по охране труда в Пермском крае</w:t>
      </w:r>
    </w:p>
    <w:p>
      <w:pPr>
        <w:pStyle w:val="ConsPlusNormal"/>
        <w:spacing w:before="0" w:after="1"/>
        <w:rPr/>
      </w:pPr>
      <w:r>
        <w:rPr/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noHBand="0" w:noVBand="1" w:firstColumn="1" w:lastRow="0" w:lastColumn="0" w:firstRow="1"/>
      </w:tblPr>
      <w:tblGrid>
        <w:gridCol w:w="59"/>
        <w:gridCol w:w="114"/>
        <w:gridCol w:w="9068"/>
        <w:gridCol w:w="113"/>
      </w:tblGrid>
      <w:tr>
        <w:trPr/>
        <w:tc>
          <w:tcPr>
            <w:tcW w:w="59" w:type="dxa"/>
            <w:tcBorders/>
            <w:shd w:color="auto" w:fill="CED3F1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14" w:type="dxa"/>
            <w:tcBorders/>
            <w:shd w:color="auto" w:fill="F4F3F8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068" w:type="dxa"/>
            <w:tcBorders/>
            <w:shd w:color="auto" w:fill="F4F3F8" w:val="clear"/>
            <w:tcMar>
              <w:top w:w="113" w:type="dxa"/>
              <w:bottom w:w="113" w:type="dxa"/>
            </w:tcMar>
          </w:tcPr>
          <w:p>
            <w:pPr>
              <w:pStyle w:val="ConsPlusNormal"/>
              <w:jc w:val="center"/>
              <w:rPr/>
            </w:pPr>
            <w:r>
              <w:rPr>
                <w:color w:val="392C69"/>
              </w:rPr>
              <w:t>Список изменяющих документов</w:t>
            </w:r>
          </w:p>
          <w:p>
            <w:pPr>
              <w:pStyle w:val="ConsPlusNormal"/>
              <w:jc w:val="center"/>
              <w:rPr/>
            </w:pPr>
            <w:r>
              <w:rPr>
                <w:color w:val="392C69"/>
              </w:rPr>
              <w:t xml:space="preserve">(в ред. Постановлений Правительства Пермского края от 27.10.2022 </w:t>
            </w:r>
            <w:hyperlink r:id="rId54">
              <w:r>
                <w:rPr>
                  <w:rStyle w:val="ListLabel1"/>
                  <w:color w:val="0000FF"/>
                </w:rPr>
                <w:t>N 904-п</w:t>
              </w:r>
            </w:hyperlink>
            <w:r>
              <w:rPr>
                <w:color w:val="392C69"/>
              </w:rPr>
              <w:t>,</w:t>
            </w:r>
          </w:p>
          <w:p>
            <w:pPr>
              <w:pStyle w:val="ConsPlusNormal"/>
              <w:jc w:val="center"/>
              <w:rPr/>
            </w:pPr>
            <w:r>
              <w:rPr>
                <w:color w:val="392C69"/>
              </w:rPr>
              <w:t xml:space="preserve">от 09.04.2024 </w:t>
            </w:r>
            <w:hyperlink r:id="rId55">
              <w:r>
                <w:rPr>
                  <w:rStyle w:val="ListLabel1"/>
                  <w:color w:val="0000FF"/>
                </w:rPr>
                <w:t>N 203-п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/>
            <w:shd w:color="auto" w:fill="F4F3F8" w:val="clear"/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pStyle w:val="ConsPlusNormal"/>
        <w:jc w:val="both"/>
        <w:rPr/>
      </w:pPr>
      <w:r>
        <w:rPr/>
      </w:r>
    </w:p>
    <w:p>
      <w:pPr>
        <w:pStyle w:val="ConsPlusNormal"/>
        <w:jc w:val="right"/>
        <w:rPr/>
      </w:pPr>
      <w:r>
        <w:rPr/>
        <w:t>ФОРМА</w:t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center"/>
        <w:rPr/>
      </w:pPr>
      <w:bookmarkStart w:id="3" w:name="P251"/>
      <w:bookmarkEnd w:id="3"/>
      <w:r>
        <w:rPr/>
        <w:t>ЗАЯВКА</w:t>
      </w:r>
    </w:p>
    <w:p>
      <w:pPr>
        <w:pStyle w:val="ConsPlusNormal"/>
        <w:jc w:val="center"/>
        <w:rPr/>
      </w:pPr>
      <w:r>
        <w:rPr/>
        <w:t>в Министерство труда и социального развития Пермского края</w:t>
      </w:r>
    </w:p>
    <w:p>
      <w:pPr>
        <w:pStyle w:val="ConsPlusNormal"/>
        <w:jc w:val="center"/>
        <w:rPr/>
      </w:pPr>
      <w:r>
        <w:rPr/>
        <w:t>на участие в конкурсе на лучшую организацию работы по охране</w:t>
      </w:r>
    </w:p>
    <w:p>
      <w:pPr>
        <w:pStyle w:val="ConsPlusNormal"/>
        <w:jc w:val="center"/>
        <w:rPr/>
      </w:pPr>
      <w:r>
        <w:rPr/>
        <w:t>труда в Пермском крае</w:t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center"/>
        <w:rPr/>
      </w:pPr>
      <w:r>
        <w:rPr/>
        <w:t>____________________________________________________________</w:t>
      </w:r>
    </w:p>
    <w:p>
      <w:pPr>
        <w:pStyle w:val="ConsPlusNormal"/>
        <w:jc w:val="center"/>
        <w:rPr/>
      </w:pPr>
      <w:r>
        <w:rPr/>
        <w:t>(полное наименование организации, ИНН)</w:t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  <w:t>1. Сокращенное официальное наименование:</w:t>
      </w:r>
    </w:p>
    <w:p>
      <w:pPr>
        <w:pStyle w:val="ConsPlusNormal"/>
        <w:spacing w:before="220" w:after="0"/>
        <w:jc w:val="both"/>
        <w:rPr/>
      </w:pPr>
      <w:r>
        <w:rPr/>
        <w:t>________________________________________________________________.</w:t>
      </w:r>
    </w:p>
    <w:p>
      <w:pPr>
        <w:pStyle w:val="ConsPlusNormal"/>
        <w:spacing w:before="220" w:after="0"/>
        <w:ind w:firstLine="540"/>
        <w:jc w:val="both"/>
        <w:rPr/>
      </w:pPr>
      <w:r>
        <w:rPr/>
        <w:t>2. Юридический адрес:</w:t>
      </w:r>
    </w:p>
    <w:p>
      <w:pPr>
        <w:pStyle w:val="ConsPlusNormal"/>
        <w:spacing w:before="220" w:after="0"/>
        <w:jc w:val="both"/>
        <w:rPr/>
      </w:pPr>
      <w:r>
        <w:rPr/>
        <w:t>________________________________________________________________.</w:t>
      </w:r>
    </w:p>
    <w:p>
      <w:pPr>
        <w:pStyle w:val="ConsPlusNormal"/>
        <w:spacing w:before="220" w:after="0"/>
        <w:ind w:firstLine="540"/>
        <w:jc w:val="both"/>
        <w:rPr/>
      </w:pPr>
      <w:r>
        <w:rPr/>
        <w:t>3. Фактический адрес:</w:t>
      </w:r>
    </w:p>
    <w:p>
      <w:pPr>
        <w:pStyle w:val="ConsPlusNormal"/>
        <w:spacing w:before="220" w:after="0"/>
        <w:jc w:val="both"/>
        <w:rPr/>
      </w:pPr>
      <w:r>
        <w:rPr/>
        <w:t>________________________________________________________________.</w:t>
      </w:r>
    </w:p>
    <w:p>
      <w:pPr>
        <w:pStyle w:val="ConsPlusNormal"/>
        <w:spacing w:before="220" w:after="0"/>
        <w:ind w:firstLine="540"/>
        <w:jc w:val="both"/>
        <w:rPr/>
      </w:pPr>
      <w:r>
        <w:rPr/>
        <w:t>4. Телефон (в том числе телефон службы охраны труда), факс:</w:t>
      </w:r>
    </w:p>
    <w:p>
      <w:pPr>
        <w:pStyle w:val="ConsPlusNormal"/>
        <w:spacing w:before="220" w:after="0"/>
        <w:jc w:val="both"/>
        <w:rPr/>
      </w:pPr>
      <w:r>
        <w:rPr/>
        <w:t>________________________________________________________________.</w:t>
      </w:r>
    </w:p>
    <w:p>
      <w:pPr>
        <w:pStyle w:val="ConsPlusNormal"/>
        <w:spacing w:before="220" w:after="0"/>
        <w:ind w:firstLine="540"/>
        <w:jc w:val="both"/>
        <w:rPr/>
      </w:pPr>
      <w:r>
        <w:rPr/>
        <w:t>5. Адрес электронной почты:</w:t>
      </w:r>
    </w:p>
    <w:p>
      <w:pPr>
        <w:pStyle w:val="ConsPlusNormal"/>
        <w:spacing w:before="220" w:after="0"/>
        <w:jc w:val="both"/>
        <w:rPr/>
      </w:pPr>
      <w:r>
        <w:rPr/>
        <w:t>________________________________________________________________.</w:t>
      </w:r>
    </w:p>
    <w:p>
      <w:pPr>
        <w:pStyle w:val="ConsPlusNormal"/>
        <w:spacing w:before="220" w:after="0"/>
        <w:ind w:firstLine="540"/>
        <w:jc w:val="both"/>
        <w:rPr/>
      </w:pPr>
      <w:r>
        <w:rPr/>
        <w:t xml:space="preserve">6. Вид деятельности по </w:t>
      </w:r>
      <w:hyperlink r:id="rId56">
        <w:r>
          <w:rPr>
            <w:rStyle w:val="ListLabel1"/>
            <w:color w:val="0000FF"/>
          </w:rPr>
          <w:t>ОКВЭД</w:t>
        </w:r>
      </w:hyperlink>
      <w:r>
        <w:rPr/>
        <w:t>:</w:t>
      </w:r>
    </w:p>
    <w:p>
      <w:pPr>
        <w:pStyle w:val="ConsPlusNormal"/>
        <w:spacing w:before="220" w:after="0"/>
        <w:jc w:val="both"/>
        <w:rPr/>
      </w:pPr>
      <w:r>
        <w:rPr/>
        <w:t>________________________________________________________________.</w:t>
      </w:r>
    </w:p>
    <w:p>
      <w:pPr>
        <w:pStyle w:val="ConsPlusNormal"/>
        <w:spacing w:before="220" w:after="0"/>
        <w:ind w:firstLine="540"/>
        <w:jc w:val="both"/>
        <w:rPr/>
      </w:pPr>
      <w:r>
        <w:rPr/>
        <w:t>7. Показатели состояния условий и охраны труда в организации:</w:t>
      </w:r>
    </w:p>
    <w:p>
      <w:pPr>
        <w:pStyle w:val="ConsPlusNormal"/>
        <w:jc w:val="both"/>
        <w:rPr/>
      </w:pPr>
      <w:r>
        <w:rPr/>
      </w:r>
    </w:p>
    <w:tbl>
      <w:tblPr>
        <w:tblW w:w="9032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noHBand="0" w:noVBand="1" w:firstColumn="1" w:lastRow="0" w:lastColumn="0" w:firstRow="1"/>
      </w:tblPr>
      <w:tblGrid>
        <w:gridCol w:w="6179"/>
        <w:gridCol w:w="1085"/>
        <w:gridCol w:w="1768"/>
      </w:tblGrid>
      <w:tr>
        <w:trPr/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Показатель состояния условий и охраны труда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Значение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Количество баллов (заполняется представителем Министерства)</w:t>
            </w:r>
          </w:p>
        </w:tc>
      </w:tr>
      <w:tr>
        <w:trPr/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1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2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3</w:t>
            </w:r>
          </w:p>
        </w:tc>
      </w:tr>
      <w:tr>
        <w:trPr/>
        <w:tc>
          <w:tcPr>
            <w:tcW w:w="90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2"/>
              <w:rPr/>
            </w:pPr>
            <w:r>
              <w:rPr/>
              <w:t>1. Состояние условий труда</w:t>
            </w:r>
          </w:p>
        </w:tc>
      </w:tr>
      <w:tr>
        <w:trPr/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1.1. Расход средств на выполнение мероприятий по улучшению условий и охраны труда (указывается в процентах от суммы затрат на производство продукции (работ, услуг).</w:t>
            </w:r>
          </w:p>
          <w:p>
            <w:pPr>
              <w:pStyle w:val="ConsPlusNormal"/>
              <w:rPr/>
            </w:pPr>
            <w:r>
              <w:rPr/>
              <w:t>Примечание:</w:t>
            </w:r>
          </w:p>
          <w:p>
            <w:pPr>
              <w:pStyle w:val="ConsPlusNormal"/>
              <w:rPr/>
            </w:pPr>
            <w:r>
              <w:rPr/>
              <w:t>финансирование мероприятий по улучшению условий и охраны труда в бюджетных организациях осуществляется за счет средств, выделяемых на их содержание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1.1.1. Использование финансового обеспечения предупредительных мер по сокращению производственного травматизма и профессиональных заболеваний работников, занятых на работах с вредными и (или) опасными производственными факторами, за счет средств Фонда пенсионного и социального страхования Российской Федерации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1.2. Количество выполненных мероприятий по охране труда, предусмотренных коллективным договором (соглашением)</w:t>
            </w:r>
          </w:p>
          <w:p>
            <w:pPr>
              <w:pStyle w:val="ConsPlusNormal"/>
              <w:rPr/>
            </w:pPr>
            <w:r>
              <w:rPr/>
              <w:t>(указываются дата и регистрационный номер уведомительной регистрации коллективного договора, количество выполненных мероприятий и общее количество мероприятий по охране труда, предусмотренных коллективным договором (соглашением))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 xml:space="preserve">1.3. Количество рабочих мест, на которых проведена специальная оценка условий труда </w:t>
            </w:r>
            <w:hyperlink w:anchor="P405">
              <w:r>
                <w:rPr>
                  <w:rStyle w:val="ListLabel1"/>
                  <w:color w:val="0000FF"/>
                </w:rPr>
                <w:t>&lt;1&gt;</w:t>
              </w:r>
            </w:hyperlink>
          </w:p>
          <w:p>
            <w:pPr>
              <w:pStyle w:val="ConsPlusNormal"/>
              <w:rPr/>
            </w:pPr>
            <w:r>
              <w:rPr/>
              <w:t>(указывается в процентах от общего числа рабочих мест)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1.4. Количество работников, обеспеченных сертифицированными средствами индивидуальной защиты в соответствии с установленными типовыми нормами</w:t>
            </w:r>
          </w:p>
          <w:p>
            <w:pPr>
              <w:pStyle w:val="ConsPlusNormal"/>
              <w:rPr/>
            </w:pPr>
            <w:r>
              <w:rPr/>
              <w:t>(указывается в процентах от числа работников, которым положена выдача средств индивидуальной защиты по установленным нормам)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90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2"/>
              <w:rPr/>
            </w:pPr>
            <w:r>
              <w:rPr/>
              <w:t>2. Система управления охраной труда</w:t>
            </w:r>
          </w:p>
        </w:tc>
      </w:tr>
      <w:tr>
        <w:trPr/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 xml:space="preserve">2.1. Наличие службы охраны труда в соответствии с нормативной численностью работников службы охраны труда (с приложением расчета численности специалистов по охране труда и выкопировки из штатного расписания) </w:t>
            </w:r>
            <w:hyperlink w:anchor="P406">
              <w:r>
                <w:rPr>
                  <w:rStyle w:val="ListLabel1"/>
                  <w:color w:val="0000FF"/>
                </w:rPr>
                <w:t>&lt;2&gt;</w:t>
              </w:r>
            </w:hyperlink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2.2. Наличие кабинета или уголка по охране труда в соответствии с численностью работников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 xml:space="preserve">2.3. Наличие комитета (комиссии) по охране труда в соответствии со </w:t>
            </w:r>
            <w:hyperlink r:id="rId57">
              <w:r>
                <w:rPr>
                  <w:rStyle w:val="ListLabel1"/>
                  <w:color w:val="0000FF"/>
                </w:rPr>
                <w:t>статьей 224</w:t>
              </w:r>
            </w:hyperlink>
            <w:r>
              <w:rPr/>
              <w:t xml:space="preserve"> Трудового кодекса Российской Федерации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2.4. Количество работников организации, прошедших обучение по охране труда и проверку знания требований охраны труда</w:t>
            </w:r>
          </w:p>
          <w:p>
            <w:pPr>
              <w:pStyle w:val="ConsPlusNormal"/>
              <w:rPr/>
            </w:pPr>
            <w:r>
              <w:rPr/>
              <w:t>(указывается в процентах от общего числа работников)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 xml:space="preserve">2.5. Наличие уполномоченных (доверенных) лиц по охране труда профсоюза или трудового коллектива </w:t>
            </w:r>
            <w:hyperlink w:anchor="P407">
              <w:r>
                <w:rPr>
                  <w:rStyle w:val="ListLabel1"/>
                  <w:color w:val="0000FF"/>
                </w:rPr>
                <w:t>&lt;3&gt;</w:t>
              </w:r>
            </w:hyperlink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 xml:space="preserve">2.6. Количество выполненных мероприятий, предусмотренных программой производственного контроля </w:t>
            </w:r>
            <w:hyperlink w:anchor="P408">
              <w:r>
                <w:rPr>
                  <w:rStyle w:val="ListLabel1"/>
                  <w:color w:val="0000FF"/>
                </w:rPr>
                <w:t>&lt;4&gt;</w:t>
              </w:r>
            </w:hyperlink>
          </w:p>
          <w:p>
            <w:pPr>
              <w:pStyle w:val="ConsPlusNormal"/>
              <w:rPr/>
            </w:pPr>
            <w:r>
              <w:rPr/>
              <w:t>(указываются количество выполненных мероприятий в году, предшествующем году проведения конкурса, и общее количество мероприятий, предусмотренных программой производственного контроля на год, предшествующий году проведения конкурса)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2.7. Охват работников вакцинацией против гриппа (указывается в процентах от общего числа работников)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 xml:space="preserve">2.8. Охват работников вакцинацией против инфекционных заболеваний, актуальных для региона, в том числе включенных в национальный календарь профилактических прививок по эпидемическим заболеваниям </w:t>
            </w:r>
            <w:hyperlink w:anchor="P409">
              <w:r>
                <w:rPr>
                  <w:rStyle w:val="ListLabel1"/>
                  <w:color w:val="0000FF"/>
                </w:rPr>
                <w:t>&lt;5&gt;</w:t>
              </w:r>
            </w:hyperlink>
          </w:p>
          <w:p>
            <w:pPr>
              <w:pStyle w:val="ConsPlusNormal"/>
              <w:rPr/>
            </w:pPr>
            <w:r>
              <w:rPr/>
              <w:t>(указывается в процентах от числа работников, которым необходимо проходить вакцинацию против инфекционных заболеваний, актуальных для региона, включенных в национальный календарь профилактических прививок по эпидемическим заболеваниям)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2.9. Охват работников ежегодным флюорографическим осмотром</w:t>
            </w:r>
          </w:p>
          <w:p>
            <w:pPr>
              <w:pStyle w:val="ConsPlusNormal"/>
              <w:rPr/>
            </w:pPr>
            <w:r>
              <w:rPr/>
              <w:t>(указывается в процентах от общего числа работников)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2.10. Наличие программы (плана мероприятий) по профилактике заболеваний ВИЧ/СПИДа на рабочих местах (с приложением копии приказа об утверждении программы/плана мероприятий)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2.11. Наличие программы (мероприятий) по профилактике сердечно-сосудистых заболеваний среди работников</w:t>
            </w:r>
          </w:p>
          <w:p>
            <w:pPr>
              <w:pStyle w:val="ConsPlusNormal"/>
              <w:rPr/>
            </w:pPr>
            <w:r>
              <w:rPr/>
              <w:t>(с приложением копии приказа об утверждении программы/плана мероприятий)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2.12. Наличие программы (мероприятий) по оздоровлению работников</w:t>
            </w:r>
          </w:p>
          <w:p>
            <w:pPr>
              <w:pStyle w:val="ConsPlusNormal"/>
              <w:rPr/>
            </w:pPr>
            <w:r>
              <w:rPr/>
              <w:t>(с приложением копии приказа об утверждении программы/плана мероприятий)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90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2"/>
              <w:rPr/>
            </w:pPr>
            <w:r>
              <w:rPr/>
              <w:t>3. Состояние травматизма и профессиональной заболеваемости</w:t>
            </w:r>
          </w:p>
        </w:tc>
      </w:tr>
      <w:tr>
        <w:trPr/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 xml:space="preserve">3.1. Наличие несчастных случаев на производстве </w:t>
            </w:r>
            <w:hyperlink w:anchor="P410">
              <w:r>
                <w:rPr>
                  <w:rStyle w:val="ListLabel1"/>
                  <w:color w:val="0000FF"/>
                </w:rPr>
                <w:t>&lt;6&gt;</w:t>
              </w:r>
            </w:hyperlink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3.2. Снижение коэффициента частоты травматизма (далее - Кч) в сравнении с предыдущим годом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3.3. Увеличение Кч в сравнении с предыдущим годом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3.4. Снижение коэффициента тяжести травматизма (далее - Кт) в сравнении с предыдущим годом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3.5. Увеличение Кт в сравнении с предыдущим годом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both"/>
              <w:rPr/>
            </w:pPr>
            <w:r>
              <w:rPr/>
              <w:t>3.6. Наличие пожаров и аварий</w:t>
            </w:r>
          </w:p>
          <w:p>
            <w:pPr>
              <w:pStyle w:val="ConsPlusNormal"/>
              <w:jc w:val="both"/>
              <w:rPr/>
            </w:pPr>
            <w:r>
              <w:rPr/>
              <w:t>(указывается количество пожаров, аварий)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3.7. Количество выявленных в результате проверок нарушений по условиям и охране труда, проведенных в текущем году органами государственного надзора и контроля</w:t>
            </w:r>
          </w:p>
          <w:p>
            <w:pPr>
              <w:pStyle w:val="ConsPlusNormal"/>
              <w:jc w:val="both"/>
              <w:rPr/>
            </w:pPr>
            <w:r>
              <w:rPr/>
              <w:t>(указывается количество нарушений)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both"/>
              <w:rPr/>
            </w:pPr>
            <w:r>
              <w:rPr/>
              <w:t xml:space="preserve">3.8. Наличие профессиональных заболеваний </w:t>
            </w:r>
            <w:hyperlink w:anchor="P411">
              <w:r>
                <w:rPr>
                  <w:rStyle w:val="ListLabel1"/>
                  <w:color w:val="0000FF"/>
                </w:rPr>
                <w:t>&lt;7&gt;</w:t>
              </w:r>
            </w:hyperlink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3.8.1. Снижение коэффициента частоты профзаболеваний (далее - Кп) в сравнении с предыдущим годом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3.8.2. Увеличение Кп в сравнении с предыдущим годом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3.9. Количество работников, работающих во вредных и (или) опасных условиях труда, прошедших профилактические периодические медицинские осмотры</w:t>
            </w:r>
          </w:p>
          <w:p>
            <w:pPr>
              <w:pStyle w:val="ConsPlusNormal"/>
              <w:rPr/>
            </w:pPr>
            <w:r>
              <w:rPr/>
              <w:t>(указывается в процентах от числа работников, которые утверждены списком о прохождении профилактических медицинских осмотров)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pStyle w:val="ConsPlusNormal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  <w:t>Полноту и достоверность представленных сведений гарантируем. Уведомлены о том, что участники, представившие недостоверные данные, могут быть не допущены к участию в конкурсе или сняты с участия в процессе его проведения.</w:t>
      </w:r>
    </w:p>
    <w:p>
      <w:pPr>
        <w:pStyle w:val="ConsPlusNormal"/>
        <w:jc w:val="both"/>
        <w:rPr/>
      </w:pPr>
      <w:r>
        <w:rPr/>
      </w:r>
    </w:p>
    <w:tbl>
      <w:tblPr>
        <w:tblW w:w="9014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noHBand="0" w:noVBand="1" w:firstColumn="1" w:lastRow="0" w:lastColumn="0" w:firstRow="1"/>
      </w:tblPr>
      <w:tblGrid>
        <w:gridCol w:w="1644"/>
        <w:gridCol w:w="850"/>
        <w:gridCol w:w="623"/>
        <w:gridCol w:w="624"/>
        <w:gridCol w:w="964"/>
        <w:gridCol w:w="453"/>
        <w:gridCol w:w="3856"/>
      </w:tblGrid>
      <w:tr>
        <w:trPr/>
        <w:tc>
          <w:tcPr>
            <w:tcW w:w="2494" w:type="dxa"/>
            <w:gridSpan w:val="2"/>
            <w:tcBorders/>
          </w:tcPr>
          <w:p>
            <w:pPr>
              <w:pStyle w:val="ConsPlusNormal"/>
              <w:rPr/>
            </w:pPr>
            <w:r>
              <w:rPr/>
              <w:t>Руководитель</w:t>
            </w:r>
          </w:p>
          <w:p>
            <w:pPr>
              <w:pStyle w:val="ConsPlusNormal"/>
              <w:rPr/>
            </w:pPr>
            <w:r>
              <w:rPr/>
              <w:t>службы охраны труда</w:t>
            </w:r>
          </w:p>
        </w:tc>
        <w:tc>
          <w:tcPr>
            <w:tcW w:w="2211" w:type="dxa"/>
            <w:gridSpan w:val="3"/>
            <w:vMerge w:val="restart"/>
            <w:tcBorders/>
            <w:vAlign w:val="bottom"/>
          </w:tcPr>
          <w:p>
            <w:pPr>
              <w:pStyle w:val="ConsPlusNormal"/>
              <w:jc w:val="center"/>
              <w:rPr/>
            </w:pPr>
            <w:r>
              <w:rPr/>
              <w:t>________________</w:t>
            </w:r>
          </w:p>
          <w:p>
            <w:pPr>
              <w:pStyle w:val="ConsPlusNormal"/>
              <w:jc w:val="center"/>
              <w:rPr/>
            </w:pPr>
            <w:r>
              <w:rPr/>
              <w:t>(подпись)</w:t>
            </w:r>
          </w:p>
        </w:tc>
        <w:tc>
          <w:tcPr>
            <w:tcW w:w="4309" w:type="dxa"/>
            <w:gridSpan w:val="2"/>
            <w:vMerge w:val="restart"/>
            <w:tcBorders/>
            <w:vAlign w:val="bottom"/>
          </w:tcPr>
          <w:p>
            <w:pPr>
              <w:pStyle w:val="ConsPlusNormal"/>
              <w:rPr/>
            </w:pPr>
            <w:r>
              <w:rPr/>
              <w:t>/_____________________________/</w:t>
            </w:r>
          </w:p>
          <w:p>
            <w:pPr>
              <w:pStyle w:val="ConsPlusNormal"/>
              <w:ind w:left="1415"/>
              <w:jc w:val="both"/>
              <w:rPr/>
            </w:pPr>
            <w:r>
              <w:rPr/>
              <w:t>(ФИО)</w:t>
            </w:r>
          </w:p>
        </w:tc>
      </w:tr>
      <w:tr>
        <w:trPr/>
        <w:tc>
          <w:tcPr>
            <w:tcW w:w="2494" w:type="dxa"/>
            <w:gridSpan w:val="2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211" w:type="dxa"/>
            <w:gridSpan w:val="3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4309" w:type="dxa"/>
            <w:gridSpan w:val="2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3117" w:type="dxa"/>
            <w:gridSpan w:val="3"/>
            <w:tcBorders/>
          </w:tcPr>
          <w:p>
            <w:pPr>
              <w:pStyle w:val="ConsPlusNormal"/>
              <w:jc w:val="both"/>
              <w:rPr/>
            </w:pPr>
            <w:r>
              <w:rPr/>
              <w:t>Руководитель организации</w:t>
            </w:r>
          </w:p>
        </w:tc>
        <w:tc>
          <w:tcPr>
            <w:tcW w:w="2041" w:type="dxa"/>
            <w:gridSpan w:val="3"/>
            <w:tcBorders/>
            <w:vAlign w:val="bottom"/>
          </w:tcPr>
          <w:p>
            <w:pPr>
              <w:pStyle w:val="ConsPlusNormal"/>
              <w:jc w:val="center"/>
              <w:rPr/>
            </w:pPr>
            <w:r>
              <w:rPr/>
              <w:t>_______________</w:t>
            </w:r>
          </w:p>
          <w:p>
            <w:pPr>
              <w:pStyle w:val="ConsPlusNormal"/>
              <w:jc w:val="center"/>
              <w:rPr/>
            </w:pPr>
            <w:r>
              <w:rPr/>
              <w:t>(подпись)</w:t>
            </w:r>
          </w:p>
        </w:tc>
        <w:tc>
          <w:tcPr>
            <w:tcW w:w="3856" w:type="dxa"/>
            <w:tcBorders/>
            <w:vAlign w:val="bottom"/>
          </w:tcPr>
          <w:p>
            <w:pPr>
              <w:pStyle w:val="ConsPlusNormal"/>
              <w:jc w:val="center"/>
              <w:rPr/>
            </w:pPr>
            <w:r>
              <w:rPr/>
              <w:t>/_____________________________/</w:t>
            </w:r>
          </w:p>
          <w:p>
            <w:pPr>
              <w:pStyle w:val="ConsPlusNormal"/>
              <w:jc w:val="center"/>
              <w:rPr/>
            </w:pPr>
            <w:r>
              <w:rPr/>
              <w:t>(ФИО)</w:t>
            </w:r>
          </w:p>
        </w:tc>
      </w:tr>
      <w:tr>
        <w:trPr/>
        <w:tc>
          <w:tcPr>
            <w:tcW w:w="9014" w:type="dxa"/>
            <w:gridSpan w:val="7"/>
            <w:tcBorders/>
          </w:tcPr>
          <w:p>
            <w:pPr>
              <w:pStyle w:val="ConsPlusNormal"/>
              <w:rPr/>
            </w:pPr>
            <w:r>
              <w:rPr/>
              <w:t>МП</w:t>
            </w:r>
          </w:p>
          <w:p>
            <w:pPr>
              <w:pStyle w:val="ConsPlusNormal"/>
              <w:rPr/>
            </w:pPr>
            <w:r>
              <w:rPr/>
              <w:t>"___" __________ 20___ г.</w:t>
            </w:r>
          </w:p>
        </w:tc>
      </w:tr>
      <w:tr>
        <w:trPr/>
        <w:tc>
          <w:tcPr>
            <w:tcW w:w="1644" w:type="dxa"/>
            <w:tcBorders/>
          </w:tcPr>
          <w:p>
            <w:pPr>
              <w:pStyle w:val="ConsPlusNormal"/>
              <w:jc w:val="both"/>
              <w:rPr/>
            </w:pPr>
            <w:r>
              <w:rPr/>
              <w:t>Исполнитель</w:t>
            </w:r>
          </w:p>
        </w:tc>
        <w:tc>
          <w:tcPr>
            <w:tcW w:w="2097" w:type="dxa"/>
            <w:gridSpan w:val="3"/>
            <w:tcBorders/>
            <w:vAlign w:val="bottom"/>
          </w:tcPr>
          <w:p>
            <w:pPr>
              <w:pStyle w:val="ConsPlusNormal"/>
              <w:jc w:val="center"/>
              <w:rPr/>
            </w:pPr>
            <w:r>
              <w:rPr/>
              <w:t>________________</w:t>
            </w:r>
          </w:p>
          <w:p>
            <w:pPr>
              <w:pStyle w:val="ConsPlusNormal"/>
              <w:jc w:val="center"/>
              <w:rPr/>
            </w:pPr>
            <w:r>
              <w:rPr/>
              <w:t>(подпись)</w:t>
            </w:r>
          </w:p>
        </w:tc>
        <w:tc>
          <w:tcPr>
            <w:tcW w:w="5273" w:type="dxa"/>
            <w:gridSpan w:val="3"/>
            <w:tcBorders/>
            <w:vAlign w:val="bottom"/>
          </w:tcPr>
          <w:p>
            <w:pPr>
              <w:pStyle w:val="ConsPlusNormal"/>
              <w:jc w:val="center"/>
              <w:rPr/>
            </w:pPr>
            <w:r>
              <w:rPr/>
              <w:t>/_________________________________________/</w:t>
            </w:r>
          </w:p>
          <w:p>
            <w:pPr>
              <w:pStyle w:val="ConsPlusNormal"/>
              <w:jc w:val="center"/>
              <w:rPr/>
            </w:pPr>
            <w:r>
              <w:rPr/>
              <w:t>(ФИО)</w:t>
            </w:r>
          </w:p>
        </w:tc>
      </w:tr>
      <w:tr>
        <w:trPr/>
        <w:tc>
          <w:tcPr>
            <w:tcW w:w="9014" w:type="dxa"/>
            <w:gridSpan w:val="7"/>
            <w:tcBorders/>
          </w:tcPr>
          <w:p>
            <w:pPr>
              <w:pStyle w:val="ConsPlusNormal"/>
              <w:jc w:val="both"/>
              <w:rPr/>
            </w:pPr>
            <w:r>
              <w:rPr/>
              <w:t>тел. ____________________</w:t>
            </w:r>
          </w:p>
        </w:tc>
      </w:tr>
    </w:tbl>
    <w:p>
      <w:pPr>
        <w:pStyle w:val="ConsPlusNormal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  <w:t>--------------------------------</w:t>
      </w:r>
    </w:p>
    <w:p>
      <w:pPr>
        <w:pStyle w:val="ConsPlusNormal"/>
        <w:spacing w:before="220" w:after="0"/>
        <w:ind w:firstLine="540"/>
        <w:jc w:val="both"/>
        <w:rPr/>
      </w:pPr>
      <w:bookmarkStart w:id="4" w:name="P405"/>
      <w:bookmarkEnd w:id="4"/>
      <w:r>
        <w:rPr/>
        <w:t xml:space="preserve">&lt;1&gt; Федеральный </w:t>
      </w:r>
      <w:hyperlink r:id="rId58">
        <w:r>
          <w:rPr>
            <w:rStyle w:val="ListLabel1"/>
            <w:color w:val="0000FF"/>
          </w:rPr>
          <w:t>закон</w:t>
        </w:r>
      </w:hyperlink>
      <w:r>
        <w:rPr/>
        <w:t xml:space="preserve"> от 28 декабря 2013 г. N 426-ФЗ "О специальной оценке условий труда".</w:t>
      </w:r>
    </w:p>
    <w:p>
      <w:pPr>
        <w:pStyle w:val="ConsPlusNormal"/>
        <w:spacing w:before="220" w:after="0"/>
        <w:ind w:firstLine="540"/>
        <w:jc w:val="both"/>
        <w:rPr/>
      </w:pPr>
      <w:bookmarkStart w:id="5" w:name="P406"/>
      <w:bookmarkEnd w:id="5"/>
      <w:r>
        <w:rPr/>
        <w:t xml:space="preserve">&lt;2&gt; Нормативная численность работников службы охраны труда у работодателя утверждена </w:t>
      </w:r>
      <w:hyperlink r:id="rId59">
        <w:r>
          <w:rPr>
            <w:rStyle w:val="ListLabel1"/>
            <w:color w:val="0000FF"/>
          </w:rPr>
          <w:t>приказом</w:t>
        </w:r>
      </w:hyperlink>
      <w:r>
        <w:rPr/>
        <w:t xml:space="preserve"> Минтруда России от 31 января 2022 г. N 37 "Об утверждении Рекомендаций по структуре службы охраны труда в организации и по численности работников службы охраны труда".</w:t>
      </w:r>
    </w:p>
    <w:p>
      <w:pPr>
        <w:pStyle w:val="ConsPlusNormal"/>
        <w:spacing w:before="220" w:after="0"/>
        <w:ind w:firstLine="540"/>
        <w:jc w:val="both"/>
        <w:rPr/>
      </w:pPr>
      <w:bookmarkStart w:id="6" w:name="P407"/>
      <w:bookmarkEnd w:id="6"/>
      <w:r>
        <w:rPr/>
        <w:t xml:space="preserve">&lt;3&gt; </w:t>
      </w:r>
      <w:hyperlink r:id="rId60">
        <w:r>
          <w:rPr>
            <w:rStyle w:val="ListLabel1"/>
            <w:color w:val="0000FF"/>
          </w:rPr>
          <w:t>Постановление</w:t>
        </w:r>
      </w:hyperlink>
      <w:r>
        <w:rPr/>
        <w:t xml:space="preserve"> Исполнительного комитета Федерации независимых профсоюзов России от 18 октября 2006 г. N 4-3 "О Типовом положении об уполномоченном (доверенном) лице по охране труда профессионального союза".</w:t>
      </w:r>
    </w:p>
    <w:p>
      <w:pPr>
        <w:pStyle w:val="ConsPlusNormal"/>
        <w:spacing w:before="220" w:after="0"/>
        <w:ind w:firstLine="540"/>
        <w:jc w:val="both"/>
        <w:rPr/>
      </w:pPr>
      <w:bookmarkStart w:id="7" w:name="P408"/>
      <w:bookmarkEnd w:id="7"/>
      <w:r>
        <w:rPr/>
        <w:t xml:space="preserve">&lt;4&gt; </w:t>
      </w:r>
      <w:hyperlink r:id="rId61">
        <w:r>
          <w:rPr>
            <w:rStyle w:val="ListLabel1"/>
            <w:color w:val="0000FF"/>
          </w:rPr>
          <w:t>Постановление</w:t>
        </w:r>
      </w:hyperlink>
      <w:r>
        <w:rPr/>
        <w:t xml:space="preserve"> Главного государственного санитарного врача Российской Федерации от 02 декабря 2020 г. N 40 "Об утверждении санитарных правил СП 2.2.3670-20 "Санитарно-эпидемиологические требования к условиям труда".</w:t>
      </w:r>
    </w:p>
    <w:p>
      <w:pPr>
        <w:pStyle w:val="ConsPlusNormal"/>
        <w:spacing w:before="220" w:after="0"/>
        <w:ind w:firstLine="540"/>
        <w:jc w:val="both"/>
        <w:rPr/>
      </w:pPr>
      <w:bookmarkStart w:id="8" w:name="P409"/>
      <w:bookmarkEnd w:id="8"/>
      <w:r>
        <w:rPr/>
        <w:t xml:space="preserve">&lt;5&gt; Национальный </w:t>
      </w:r>
      <w:hyperlink r:id="rId62">
        <w:r>
          <w:rPr>
            <w:rStyle w:val="ListLabel1"/>
            <w:color w:val="0000FF"/>
          </w:rPr>
          <w:t>календарь</w:t>
        </w:r>
      </w:hyperlink>
      <w:r>
        <w:rPr/>
        <w:t xml:space="preserve"> прививок утвержден приказом Минздрава России от 06 декабря 2021 г. N 1122н "Об утверждении национального календаря профилактических прививок, календаря профилактических прививок по эпидемическим показаниям и порядка проведения профилактических прививок".</w:t>
      </w:r>
    </w:p>
    <w:p>
      <w:pPr>
        <w:pStyle w:val="ConsPlusNormal"/>
        <w:spacing w:before="220" w:after="0"/>
        <w:ind w:firstLine="540"/>
        <w:jc w:val="both"/>
        <w:rPr/>
      </w:pPr>
      <w:bookmarkStart w:id="9" w:name="P410"/>
      <w:bookmarkEnd w:id="9"/>
      <w:r>
        <w:rPr/>
        <w:t>&lt;6&gt; Баллы не присваиваются, если в предыдущем году имелись несчастные случаи на производстве и производился расчет коэффициента травматизма.</w:t>
      </w:r>
    </w:p>
    <w:p>
      <w:pPr>
        <w:pStyle w:val="ConsPlusNormal"/>
        <w:spacing w:before="220" w:after="0"/>
        <w:ind w:firstLine="540"/>
        <w:jc w:val="both"/>
        <w:rPr/>
      </w:pPr>
      <w:bookmarkStart w:id="10" w:name="P411"/>
      <w:bookmarkEnd w:id="10"/>
      <w:r>
        <w:rPr/>
        <w:t>&lt;7&gt; Баллы не присваиваются, если в предыдущем году были зарегистрированы профессиональные заболевания и производился расчет коэффициента профзаболеваемости.</w:t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pBdr>
          <w:bottom w:val="single" w:sz="6" w:space="0" w:color="000000"/>
        </w:pBdr>
        <w:spacing w:before="100" w:after="100"/>
        <w:jc w:val="both"/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  <w:bookmarkStart w:id="11" w:name="_GoBack"/>
      <w:bookmarkStart w:id="12" w:name="_GoBack"/>
      <w:bookmarkEnd w:id="12"/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Courier New">
    <w:charset w:val="01"/>
    <w:family w:val="roman"/>
    <w:pitch w:val="default"/>
  </w:font>
  <w:font w:name="Tahoma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Tahoma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Times New Roman" w:hAnsi="Times New Roman"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imes New Roman" w:hAnsi="Times New Roman" w:cs="Lohit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Times New Roman" w:hAnsi="Times New Roman" w:cs="Lohit Devanagari"/>
    </w:rPr>
  </w:style>
  <w:style w:type="paragraph" w:styleId="ConsPlusNormal" w:customStyle="1">
    <w:name w:val="ConsPlusNormal"/>
    <w:qFormat/>
    <w:rsid w:val="00d31476"/>
    <w:pPr>
      <w:widowControl w:val="false"/>
      <w:bidi w:val="0"/>
      <w:spacing w:lineRule="auto" w:line="240" w:before="0" w:after="0"/>
      <w:jc w:val="left"/>
    </w:pPr>
    <w:rPr>
      <w:rFonts w:ascii="Calibri" w:hAnsi="Calibri" w:eastAsia="" w:cs="Calibri" w:eastAsiaTheme="minorEastAsia"/>
      <w:color w:val="auto"/>
      <w:kern w:val="0"/>
      <w:sz w:val="22"/>
      <w:szCs w:val="22"/>
      <w:lang w:eastAsia="ru-RU" w:val="ru-RU" w:bidi="ar-SA"/>
    </w:rPr>
  </w:style>
  <w:style w:type="paragraph" w:styleId="ConsPlusNonformat" w:customStyle="1">
    <w:name w:val="ConsPlusNonformat"/>
    <w:qFormat/>
    <w:rsid w:val="00d31476"/>
    <w:pPr>
      <w:widowControl w:val="false"/>
      <w:bidi w:val="0"/>
      <w:spacing w:lineRule="auto" w:line="240" w:before="0" w:after="0"/>
      <w:jc w:val="left"/>
    </w:pPr>
    <w:rPr>
      <w:rFonts w:ascii="Courier New" w:hAnsi="Courier New" w:eastAsia="" w:cs="Courier New" w:eastAsiaTheme="minorEastAsia"/>
      <w:color w:val="auto"/>
      <w:kern w:val="0"/>
      <w:sz w:val="20"/>
      <w:szCs w:val="22"/>
      <w:lang w:eastAsia="ru-RU" w:val="ru-RU" w:bidi="ar-SA"/>
    </w:rPr>
  </w:style>
  <w:style w:type="paragraph" w:styleId="ConsPlusTitle" w:customStyle="1">
    <w:name w:val="ConsPlusTitle"/>
    <w:qFormat/>
    <w:rsid w:val="00d31476"/>
    <w:pPr>
      <w:widowControl w:val="false"/>
      <w:bidi w:val="0"/>
      <w:spacing w:lineRule="auto" w:line="240" w:before="0" w:after="0"/>
      <w:jc w:val="left"/>
    </w:pPr>
    <w:rPr>
      <w:rFonts w:ascii="Calibri" w:hAnsi="Calibri" w:eastAsia="" w:cs="Calibri" w:eastAsiaTheme="minorEastAsia"/>
      <w:b/>
      <w:color w:val="auto"/>
      <w:kern w:val="0"/>
      <w:sz w:val="22"/>
      <w:szCs w:val="22"/>
      <w:lang w:eastAsia="ru-RU" w:val="ru-RU" w:bidi="ar-SA"/>
    </w:rPr>
  </w:style>
  <w:style w:type="paragraph" w:styleId="ConsPlusTitlePage" w:customStyle="1">
    <w:name w:val="ConsPlusTitlePage"/>
    <w:qFormat/>
    <w:rsid w:val="00d31476"/>
    <w:pPr>
      <w:widowControl w:val="false"/>
      <w:bidi w:val="0"/>
      <w:spacing w:lineRule="auto" w:line="240" w:before="0" w:after="0"/>
      <w:jc w:val="left"/>
    </w:pPr>
    <w:rPr>
      <w:rFonts w:ascii="Tahoma" w:hAnsi="Tahoma" w:eastAsia="" w:cs="Tahoma" w:eastAsiaTheme="minorEastAsia"/>
      <w:color w:val="auto"/>
      <w:kern w:val="0"/>
      <w:sz w:val="20"/>
      <w:szCs w:val="22"/>
      <w:lang w:eastAsia="ru-RU" w:val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consultant.ru/" TargetMode="External"/><Relationship Id="rId3" Type="http://schemas.openxmlformats.org/officeDocument/2006/relationships/hyperlink" Target="https://login.consultant.ru/link/?req=doc&amp;base=RLAW368&amp;n=37185&amp;dst=100005" TargetMode="External"/><Relationship Id="rId4" Type="http://schemas.openxmlformats.org/officeDocument/2006/relationships/hyperlink" Target="https://login.consultant.ru/link/?req=doc&amp;base=RLAW368&amp;n=42153&amp;dst=100005" TargetMode="External"/><Relationship Id="rId5" Type="http://schemas.openxmlformats.org/officeDocument/2006/relationships/hyperlink" Target="https://login.consultant.ru/link/?req=doc&amp;base=RLAW368&amp;n=55261&amp;dst=100005" TargetMode="External"/><Relationship Id="rId6" Type="http://schemas.openxmlformats.org/officeDocument/2006/relationships/hyperlink" Target="https://login.consultant.ru/link/?req=doc&amp;base=RLAW368&amp;n=71623&amp;dst=100005" TargetMode="External"/><Relationship Id="rId7" Type="http://schemas.openxmlformats.org/officeDocument/2006/relationships/hyperlink" Target="https://login.consultant.ru/link/?req=doc&amp;base=RLAW368&amp;n=119281&amp;dst=100005" TargetMode="External"/><Relationship Id="rId8" Type="http://schemas.openxmlformats.org/officeDocument/2006/relationships/hyperlink" Target="https://login.consultant.ru/link/?req=doc&amp;base=RLAW368&amp;n=145841&amp;dst=100005" TargetMode="External"/><Relationship Id="rId9" Type="http://schemas.openxmlformats.org/officeDocument/2006/relationships/hyperlink" Target="https://login.consultant.ru/link/?req=doc&amp;base=RLAW368&amp;n=172507&amp;dst=100005" TargetMode="External"/><Relationship Id="rId10" Type="http://schemas.openxmlformats.org/officeDocument/2006/relationships/hyperlink" Target="https://login.consultant.ru/link/?req=doc&amp;base=RLAW368&amp;n=193652&amp;dst=100005" TargetMode="External"/><Relationship Id="rId11" Type="http://schemas.openxmlformats.org/officeDocument/2006/relationships/hyperlink" Target="https://login.consultant.ru/link/?req=doc&amp;base=RLAW368&amp;n=145841&amp;dst=100006" TargetMode="External"/><Relationship Id="rId12" Type="http://schemas.openxmlformats.org/officeDocument/2006/relationships/hyperlink" Target="https://login.consultant.ru/link/?req=doc&amp;base=RLAW368&amp;n=193652&amp;dst=100006" TargetMode="External"/><Relationship Id="rId13" Type="http://schemas.openxmlformats.org/officeDocument/2006/relationships/hyperlink" Target="https://login.consultant.ru/link/?req=doc&amp;base=RLAW368&amp;n=145841&amp;dst=100008" TargetMode="External"/><Relationship Id="rId14" Type="http://schemas.openxmlformats.org/officeDocument/2006/relationships/hyperlink" Target="https://login.consultant.ru/link/?req=doc&amp;base=RLAW368&amp;n=193652&amp;dst=100007" TargetMode="External"/><Relationship Id="rId15" Type="http://schemas.openxmlformats.org/officeDocument/2006/relationships/hyperlink" Target="https://login.consultant.ru/link/?req=doc&amp;base=RLAW368&amp;n=37185&amp;dst=100009" TargetMode="External"/><Relationship Id="rId16" Type="http://schemas.openxmlformats.org/officeDocument/2006/relationships/hyperlink" Target="https://login.consultant.ru/link/?req=doc&amp;base=RLAW368&amp;n=42153&amp;dst=100009" TargetMode="External"/><Relationship Id="rId17" Type="http://schemas.openxmlformats.org/officeDocument/2006/relationships/hyperlink" Target="https://login.consultant.ru/link/?req=doc&amp;base=RLAW368&amp;n=55261&amp;dst=100005" TargetMode="External"/><Relationship Id="rId18" Type="http://schemas.openxmlformats.org/officeDocument/2006/relationships/hyperlink" Target="https://login.consultant.ru/link/?req=doc&amp;base=RLAW368&amp;n=71623&amp;dst=100009" TargetMode="External"/><Relationship Id="rId19" Type="http://schemas.openxmlformats.org/officeDocument/2006/relationships/hyperlink" Target="https://login.consultant.ru/link/?req=doc&amp;base=RLAW368&amp;n=119281&amp;dst=100005" TargetMode="External"/><Relationship Id="rId20" Type="http://schemas.openxmlformats.org/officeDocument/2006/relationships/hyperlink" Target="https://login.consultant.ru/link/?req=doc&amp;base=RLAW368&amp;n=145841&amp;dst=100010" TargetMode="External"/><Relationship Id="rId21" Type="http://schemas.openxmlformats.org/officeDocument/2006/relationships/hyperlink" Target="https://login.consultant.ru/link/?req=doc&amp;base=RLAW368&amp;n=172507&amp;dst=100005" TargetMode="External"/><Relationship Id="rId22" Type="http://schemas.openxmlformats.org/officeDocument/2006/relationships/hyperlink" Target="https://login.consultant.ru/link/?req=doc&amp;base=RLAW368&amp;n=193652&amp;dst=100008" TargetMode="External"/><Relationship Id="rId23" Type="http://schemas.openxmlformats.org/officeDocument/2006/relationships/hyperlink" Target="https://login.consultant.ru/link/?req=doc&amp;base=LAW&amp;n=493202&amp;dst=102573" TargetMode="External"/><Relationship Id="rId24" Type="http://schemas.openxmlformats.org/officeDocument/2006/relationships/hyperlink" Target="https://login.consultant.ru/link/?req=doc&amp;base=RLAW368&amp;n=119281&amp;dst=100010" TargetMode="External"/><Relationship Id="rId25" Type="http://schemas.openxmlformats.org/officeDocument/2006/relationships/hyperlink" Target="https://login.consultant.ru/link/?req=doc&amp;base=RLAW368&amp;n=119281&amp;dst=100012" TargetMode="External"/><Relationship Id="rId26" Type="http://schemas.openxmlformats.org/officeDocument/2006/relationships/hyperlink" Target="https://login.consultant.ru/link/?req=doc&amp;base=RLAW368&amp;n=172507&amp;dst=100010" TargetMode="External"/><Relationship Id="rId27" Type="http://schemas.openxmlformats.org/officeDocument/2006/relationships/hyperlink" Target="https://login.consultant.ru/link/?req=doc&amp;base=RLAW368&amp;n=71623&amp;dst=100010" TargetMode="External"/><Relationship Id="rId28" Type="http://schemas.openxmlformats.org/officeDocument/2006/relationships/hyperlink" Target="https://login.consultant.ru/link/?req=doc&amp;base=RLAW368&amp;n=145841&amp;dst=100011" TargetMode="External"/><Relationship Id="rId29" Type="http://schemas.openxmlformats.org/officeDocument/2006/relationships/hyperlink" Target="https://login.consultant.ru/link/?req=doc&amp;base=RLAW368&amp;n=193652&amp;dst=100009" TargetMode="External"/><Relationship Id="rId30" Type="http://schemas.openxmlformats.org/officeDocument/2006/relationships/hyperlink" Target="https://login.consultant.ru/link/?req=doc&amp;base=RLAW368&amp;n=172507&amp;dst=100013" TargetMode="External"/><Relationship Id="rId31" Type="http://schemas.openxmlformats.org/officeDocument/2006/relationships/hyperlink" Target="https://login.consultant.ru/link/?req=doc&amp;base=RLAW368&amp;n=172507&amp;dst=100015" TargetMode="External"/><Relationship Id="rId32" Type="http://schemas.openxmlformats.org/officeDocument/2006/relationships/hyperlink" Target="https://login.consultant.ru/link/?req=doc&amp;base=RLAW368&amp;n=172507&amp;dst=100017" TargetMode="External"/><Relationship Id="rId33" Type="http://schemas.openxmlformats.org/officeDocument/2006/relationships/hyperlink" Target="https://login.consultant.ru/link/?req=doc&amp;base=RLAW368&amp;n=119281&amp;dst=100013" TargetMode="External"/><Relationship Id="rId34" Type="http://schemas.openxmlformats.org/officeDocument/2006/relationships/hyperlink" Target="https://minsoc.permkrai.ru/" TargetMode="External"/><Relationship Id="rId35" Type="http://schemas.openxmlformats.org/officeDocument/2006/relationships/hyperlink" Target="https://minsoc.permkrai.ru/" TargetMode="External"/><Relationship Id="rId36" Type="http://schemas.openxmlformats.org/officeDocument/2006/relationships/hyperlink" Target="https://login.consultant.ru/link/?req=doc&amp;base=RLAW368&amp;n=193652&amp;dst=100010" TargetMode="External"/><Relationship Id="rId37" Type="http://schemas.openxmlformats.org/officeDocument/2006/relationships/hyperlink" Target="https://login.consultant.ru/link/?req=doc&amp;base=RLAW368&amp;n=193652&amp;dst=100013" TargetMode="External"/><Relationship Id="rId38" Type="http://schemas.openxmlformats.org/officeDocument/2006/relationships/hyperlink" Target="https://login.consultant.ru/link/?req=doc&amp;base=RLAW368&amp;n=172507&amp;dst=100020" TargetMode="External"/><Relationship Id="rId39" Type="http://schemas.openxmlformats.org/officeDocument/2006/relationships/hyperlink" Target="https://login.consultant.ru/link/?req=doc&amp;base=RLAW368&amp;n=71623&amp;dst=100015" TargetMode="External"/><Relationship Id="rId40" Type="http://schemas.openxmlformats.org/officeDocument/2006/relationships/hyperlink" Target="https://login.consultant.ru/link/?req=doc&amp;base=RLAW368&amp;n=172507&amp;dst=100021" TargetMode="External"/><Relationship Id="rId41" Type="http://schemas.openxmlformats.org/officeDocument/2006/relationships/hyperlink" Target="https://login.consultant.ru/link/?req=doc&amp;base=RLAW368&amp;n=55261&amp;dst=100014" TargetMode="External"/><Relationship Id="rId42" Type="http://schemas.openxmlformats.org/officeDocument/2006/relationships/hyperlink" Target="https://login.consultant.ru/link/?req=doc&amp;base=RLAW368&amp;n=193652&amp;dst=100015" TargetMode="External"/><Relationship Id="rId43" Type="http://schemas.openxmlformats.org/officeDocument/2006/relationships/hyperlink" Target="https://login.consultant.ru/link/?req=doc&amp;base=LAW&amp;n=493279&amp;dst=2780" TargetMode="External"/><Relationship Id="rId44" Type="http://schemas.openxmlformats.org/officeDocument/2006/relationships/hyperlink" Target="https://login.consultant.ru/link/?req=doc&amp;base=RLAW368&amp;n=172507&amp;dst=100023" TargetMode="External"/><Relationship Id="rId45" Type="http://schemas.openxmlformats.org/officeDocument/2006/relationships/hyperlink" Target="https://login.consultant.ru/link/?req=doc&amp;base=RLAW368&amp;n=55261&amp;dst=100016" TargetMode="External"/><Relationship Id="rId46" Type="http://schemas.openxmlformats.org/officeDocument/2006/relationships/hyperlink" Target="https://login.consultant.ru/link/?req=doc&amp;base=RLAW368&amp;n=42153&amp;dst=100013" TargetMode="External"/><Relationship Id="rId47" Type="http://schemas.openxmlformats.org/officeDocument/2006/relationships/hyperlink" Target="https://login.consultant.ru/link/?req=doc&amp;base=RLAW368&amp;n=71623&amp;dst=100041" TargetMode="External"/><Relationship Id="rId48" Type="http://schemas.openxmlformats.org/officeDocument/2006/relationships/hyperlink" Target="https://login.consultant.ru/link/?req=doc&amp;base=RLAW368&amp;n=37185&amp;dst=100042" TargetMode="External"/><Relationship Id="rId49" Type="http://schemas.openxmlformats.org/officeDocument/2006/relationships/hyperlink" Target="https://login.consultant.ru/link/?req=doc&amp;base=RLAW368&amp;n=119281&amp;dst=100050" TargetMode="External"/><Relationship Id="rId50" Type="http://schemas.openxmlformats.org/officeDocument/2006/relationships/hyperlink" Target="https://login.consultant.ru/link/?req=doc&amp;base=RLAW368&amp;n=71623&amp;dst=100042" TargetMode="External"/><Relationship Id="rId51" Type="http://schemas.openxmlformats.org/officeDocument/2006/relationships/hyperlink" Target="https://login.consultant.ru/link/?req=doc&amp;base=RLAW368&amp;n=42153&amp;dst=100015" TargetMode="External"/><Relationship Id="rId52" Type="http://schemas.openxmlformats.org/officeDocument/2006/relationships/hyperlink" Target="https://login.consultant.ru/link/?req=doc&amp;base=RLAW368&amp;n=71623&amp;dst=100044" TargetMode="External"/><Relationship Id="rId53" Type="http://schemas.openxmlformats.org/officeDocument/2006/relationships/hyperlink" Target="https://login.consultant.ru/link/?req=doc&amp;base=RLAW368&amp;n=55261&amp;dst=100044" TargetMode="External"/><Relationship Id="rId54" Type="http://schemas.openxmlformats.org/officeDocument/2006/relationships/hyperlink" Target="https://login.consultant.ru/link/?req=doc&amp;base=RLAW368&amp;n=172507&amp;dst=100087" TargetMode="External"/><Relationship Id="rId55" Type="http://schemas.openxmlformats.org/officeDocument/2006/relationships/hyperlink" Target="https://login.consultant.ru/link/?req=doc&amp;base=RLAW368&amp;n=193652&amp;dst=100021" TargetMode="External"/><Relationship Id="rId56" Type="http://schemas.openxmlformats.org/officeDocument/2006/relationships/hyperlink" Target="https://login.consultant.ru/link/?req=doc&amp;base=LAW&amp;n=495920" TargetMode="External"/><Relationship Id="rId57" Type="http://schemas.openxmlformats.org/officeDocument/2006/relationships/hyperlink" Target="https://login.consultant.ru/link/?req=doc&amp;base=LAW&amp;n=493279&amp;dst=2780" TargetMode="External"/><Relationship Id="rId58" Type="http://schemas.openxmlformats.org/officeDocument/2006/relationships/hyperlink" Target="https://login.consultant.ru/link/?req=doc&amp;base=LAW&amp;n=452984" TargetMode="External"/><Relationship Id="rId59" Type="http://schemas.openxmlformats.org/officeDocument/2006/relationships/hyperlink" Target="https://login.consultant.ru/link/?req=doc&amp;base=LAW&amp;n=408712" TargetMode="External"/><Relationship Id="rId60" Type="http://schemas.openxmlformats.org/officeDocument/2006/relationships/hyperlink" Target="https://login.consultant.ru/link/?req=doc&amp;base=LAW&amp;n=461834" TargetMode="External"/><Relationship Id="rId61" Type="http://schemas.openxmlformats.org/officeDocument/2006/relationships/hyperlink" Target="https://login.consultant.ru/link/?req=doc&amp;base=LAW&amp;n=372741" TargetMode="External"/><Relationship Id="rId62" Type="http://schemas.openxmlformats.org/officeDocument/2006/relationships/hyperlink" Target="https://login.consultant.ru/link/?req=doc&amp;base=LAW&amp;n=468403&amp;dst=100021" TargetMode="External"/><Relationship Id="rId63" Type="http://schemas.openxmlformats.org/officeDocument/2006/relationships/fontTable" Target="fontTable.xml"/><Relationship Id="rId64" Type="http://schemas.openxmlformats.org/officeDocument/2006/relationships/settings" Target="settings.xml"/><Relationship Id="rId6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LibreOffice/7.6.7.2$Linux_X86_64 LibreOffice_project/60$Build-2</Application>
  <AppVersion>15.0000</AppVersion>
  <Pages>12</Pages>
  <Words>3015</Words>
  <Characters>20637</Characters>
  <CharactersWithSpaces>23392</CharactersWithSpaces>
  <Paragraphs>317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2025-01-24T05:08:00Z</dcterms:created>
  <dc:creator>Сидельников Игорь Игоревич</dc:creator>
  <dc:description/>
  <dc:language>ru-RU</dc:language>
  <cp:lastModifiedBy>Сидельников Игорь Игоревич</cp:lastModifiedBy>
  <dcterms:modified xsi:type="dcterms:W3CDTF">2025-01-24T05:09:00Z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