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58" w:rsidRDefault="00651B58" w:rsidP="00125C06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заполнения  финансового отчета о доходах и расходах организации Профсоюза по форме 1-ПБ</w:t>
      </w:r>
    </w:p>
    <w:p w:rsidR="00651B58" w:rsidRDefault="00651B58" w:rsidP="00125C06">
      <w:pPr>
        <w:spacing w:after="0" w:line="276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Организации Профсоюза представляют  финансовый отчет о доходах и расходах по форме 1-ПБ (далее отчет 1-ПБ) до 20 января , следующего за отчетным периодом.</w:t>
      </w:r>
    </w:p>
    <w:p w:rsidR="00651B58" w:rsidRDefault="00651B58" w:rsidP="00125C0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1B58" w:rsidRDefault="00651B58" w:rsidP="00125C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состав отчета 1-ПБ входит:</w:t>
      </w:r>
    </w:p>
    <w:p w:rsidR="00651B58" w:rsidRDefault="00651B58" w:rsidP="00125C06">
      <w:pPr>
        <w:numPr>
          <w:ilvl w:val="0"/>
          <w:numId w:val="12"/>
        </w:numPr>
        <w:tabs>
          <w:tab w:val="left" w:pos="1429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финансовый отчет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доходах и расходах ;</w:t>
      </w:r>
    </w:p>
    <w:p w:rsidR="00651B58" w:rsidRDefault="00651B58" w:rsidP="00125C06">
      <w:pPr>
        <w:numPr>
          <w:ilvl w:val="0"/>
          <w:numId w:val="12"/>
        </w:numPr>
        <w:tabs>
          <w:tab w:val="left" w:pos="1429"/>
        </w:tabs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№1 к отчету 1-ПБ (расшифровка статьи доходов «Иные поступления на уставную деятельность»);</w:t>
      </w:r>
    </w:p>
    <w:p w:rsidR="00651B58" w:rsidRDefault="00651B58" w:rsidP="00125C06">
      <w:pPr>
        <w:numPr>
          <w:ilvl w:val="0"/>
          <w:numId w:val="12"/>
        </w:numPr>
        <w:tabs>
          <w:tab w:val="left" w:pos="1429"/>
        </w:tabs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№2 к отчету 1-ПБ (расшифровка статьи доходов «Прибыль от приносящей доход деятельности»);</w:t>
      </w:r>
    </w:p>
    <w:p w:rsidR="00651B58" w:rsidRDefault="00651B58" w:rsidP="00125C06">
      <w:pPr>
        <w:numPr>
          <w:ilvl w:val="0"/>
          <w:numId w:val="12"/>
        </w:numPr>
        <w:tabs>
          <w:tab w:val="left" w:pos="1429"/>
        </w:tabs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№3 к отчету 1-ПБ (сведения о распределении членских профсоюзных взносов).</w:t>
      </w:r>
    </w:p>
    <w:p w:rsidR="00651B58" w:rsidRPr="002F4559" w:rsidRDefault="00651B58" w:rsidP="00E9085E">
      <w:pPr>
        <w:tabs>
          <w:tab w:val="left" w:pos="1429"/>
        </w:tabs>
        <w:suppressAutoHyphens/>
        <w:spacing w:after="0"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651B58" w:rsidRDefault="00651B58" w:rsidP="002F4559">
      <w:pPr>
        <w:spacing w:line="360" w:lineRule="auto"/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"/>
        <w:gridCol w:w="3269"/>
        <w:gridCol w:w="6003"/>
      </w:tblGrid>
      <w:tr w:rsidR="00651B58" w:rsidRPr="00A04DDF" w:rsidTr="00A04DDF">
        <w:tc>
          <w:tcPr>
            <w:tcW w:w="1077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DF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04DDF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3269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DF">
              <w:rPr>
                <w:rFonts w:ascii="Times New Roman" w:hAnsi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6003" w:type="dxa"/>
          </w:tcPr>
          <w:p w:rsidR="00651B58" w:rsidRPr="00A04DDF" w:rsidRDefault="00651B58" w:rsidP="00A04D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DF">
              <w:rPr>
                <w:rFonts w:ascii="Times New Roman" w:hAnsi="Times New Roman"/>
                <w:sz w:val="24"/>
                <w:szCs w:val="24"/>
              </w:rPr>
              <w:t>Расшифровка статьи</w:t>
            </w:r>
          </w:p>
        </w:tc>
      </w:tr>
      <w:tr w:rsidR="00651B58" w:rsidRPr="00A04DDF" w:rsidTr="00A04DDF">
        <w:tc>
          <w:tcPr>
            <w:tcW w:w="1077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10</w:t>
            </w:r>
          </w:p>
        </w:tc>
        <w:tc>
          <w:tcPr>
            <w:tcW w:w="3269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Остаток средств на начало отчетного года</w:t>
            </w:r>
          </w:p>
        </w:tc>
        <w:tc>
          <w:tcPr>
            <w:tcW w:w="6003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Профсоюзная организация показывает сумму, равную кредитовому сальдо по счету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Целевое финансирование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на начало отчетного года.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Показатель строки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на начало отчетного года переносится из сводного финансового отчета о доходах и расходах организации из строки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предыдущего года.</w:t>
            </w:r>
          </w:p>
        </w:tc>
      </w:tr>
      <w:tr w:rsidR="00651B58" w:rsidRPr="00A04DDF" w:rsidTr="00A04DDF">
        <w:tc>
          <w:tcPr>
            <w:tcW w:w="10349" w:type="dxa"/>
            <w:gridSpan w:val="3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 xml:space="preserve">                      ДОХОДЫ</w:t>
            </w:r>
          </w:p>
        </w:tc>
      </w:tr>
      <w:tr w:rsidR="00651B58" w:rsidRPr="00A04DDF" w:rsidTr="00A04DDF">
        <w:tc>
          <w:tcPr>
            <w:tcW w:w="1077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20</w:t>
            </w:r>
          </w:p>
        </w:tc>
        <w:tc>
          <w:tcPr>
            <w:tcW w:w="3269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Членские профсоюзные взносы всего (в т.ч. </w:t>
            </w:r>
          </w:p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вступительные взносы)</w:t>
            </w:r>
          </w:p>
        </w:tc>
        <w:tc>
          <w:tcPr>
            <w:tcW w:w="6003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начисленные и удержанные членские профсоюзные взносы 1% (в т.ч. вступительные взносы) и членские профсоюзные взносы свыше 1%. Строка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равна сумме строк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>.  Порядок удержания членских профсоюзных взносов предусмотрен Уставом Профсоюза и Положением о порядке удержания, уплаты, распределения и учета членских профсоюзных взносов в Общероссийском Профсоюзе образования.</w:t>
            </w:r>
          </w:p>
        </w:tc>
      </w:tr>
      <w:tr w:rsidR="00651B58" w:rsidRPr="00A04DDF" w:rsidTr="00A04DDF">
        <w:tc>
          <w:tcPr>
            <w:tcW w:w="1077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21</w:t>
            </w:r>
          </w:p>
        </w:tc>
        <w:tc>
          <w:tcPr>
            <w:tcW w:w="3269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Членские профсоюзные взносы 1% (в т.ч. вступительные взносы)</w:t>
            </w:r>
          </w:p>
        </w:tc>
        <w:tc>
          <w:tcPr>
            <w:tcW w:w="6003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начисленные и удержанные членские профсоюзные взносы в размере 1% и вступительные взносы.</w:t>
            </w:r>
          </w:p>
        </w:tc>
      </w:tr>
      <w:tr w:rsidR="00651B58" w:rsidRPr="00A04DDF" w:rsidTr="00A04DDF">
        <w:tc>
          <w:tcPr>
            <w:tcW w:w="1077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22</w:t>
            </w:r>
          </w:p>
        </w:tc>
        <w:tc>
          <w:tcPr>
            <w:tcW w:w="3269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Членские профсоюзные взносы свыше 1%</w:t>
            </w:r>
          </w:p>
        </w:tc>
        <w:tc>
          <w:tcPr>
            <w:tcW w:w="6003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начисленные и удержанные членские профсоюзные взносы свыше 1%.</w:t>
            </w:r>
          </w:p>
        </w:tc>
      </w:tr>
      <w:tr w:rsidR="00651B58" w:rsidRPr="00A04DDF" w:rsidTr="00A04DDF">
        <w:tc>
          <w:tcPr>
            <w:tcW w:w="1077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30</w:t>
            </w:r>
          </w:p>
        </w:tc>
        <w:tc>
          <w:tcPr>
            <w:tcW w:w="3269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Иные поступления на уставную деятельность</w:t>
            </w:r>
          </w:p>
        </w:tc>
        <w:tc>
          <w:tcPr>
            <w:tcW w:w="6003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денежные средства, поступившие от работодателя первичной профсоюзной организации и других юридических и физических лиц на уставную деятельность профсоюзной организации, средства по коллективным договорам, пожертвования и др. Расшифровка данной строки дается в приложении №1 к отчету 1-ПБ.</w:t>
            </w:r>
          </w:p>
        </w:tc>
      </w:tr>
      <w:tr w:rsidR="00651B58" w:rsidRPr="00A04DDF" w:rsidTr="00A04DDF">
        <w:tc>
          <w:tcPr>
            <w:tcW w:w="1077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40</w:t>
            </w:r>
          </w:p>
        </w:tc>
        <w:tc>
          <w:tcPr>
            <w:tcW w:w="3269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Прибыль от приносящей доход деятельности</w:t>
            </w:r>
          </w:p>
        </w:tc>
        <w:tc>
          <w:tcPr>
            <w:tcW w:w="6003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Указываются денежные средства, перечисленные в приложении № 2 к отчету 1-ПБ.</w:t>
            </w:r>
          </w:p>
        </w:tc>
      </w:tr>
      <w:tr w:rsidR="00651B58" w:rsidRPr="00A04DDF" w:rsidTr="00A04DDF">
        <w:tc>
          <w:tcPr>
            <w:tcW w:w="1077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50</w:t>
            </w:r>
          </w:p>
        </w:tc>
        <w:tc>
          <w:tcPr>
            <w:tcW w:w="3269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Всего доходов</w:t>
            </w:r>
          </w:p>
        </w:tc>
        <w:tc>
          <w:tcPr>
            <w:tcW w:w="6003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Отражается сумма строк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20, 30, 40.</w:t>
            </w:r>
          </w:p>
        </w:tc>
      </w:tr>
    </w:tbl>
    <w:p w:rsidR="00651B58" w:rsidRDefault="00651B58" w:rsidP="00D95762">
      <w:pPr>
        <w:rPr>
          <w:rFonts w:ascii="Times New Roman" w:hAnsi="Times New Roman"/>
        </w:rPr>
      </w:pPr>
    </w:p>
    <w:p w:rsidR="00651B58" w:rsidRPr="00ED4883" w:rsidRDefault="00651B58" w:rsidP="00ED4883">
      <w:pPr>
        <w:spacing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ED4883">
        <w:rPr>
          <w:rFonts w:ascii="Times New Roman" w:hAnsi="Times New Roman"/>
          <w:b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, произведенные </w:t>
      </w:r>
      <w:r w:rsidRPr="00ED4883">
        <w:rPr>
          <w:rFonts w:ascii="Times New Roman" w:hAnsi="Times New Roman"/>
          <w:sz w:val="28"/>
          <w:szCs w:val="28"/>
        </w:rPr>
        <w:t>организацией Профсоюза, распределяются в зависимости от источников поступления доходов (за счет членских взносов, за счет иных поступлений, за счет прибыли от приносящей доход деятельности).</w:t>
      </w:r>
    </w:p>
    <w:p w:rsidR="00651B58" w:rsidRPr="0098623F" w:rsidRDefault="00651B58" w:rsidP="00D95762">
      <w:pPr>
        <w:rPr>
          <w:rFonts w:ascii="Times New Roman" w:hAnsi="Times New Roman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665"/>
        <w:gridCol w:w="5827"/>
      </w:tblGrid>
      <w:tr w:rsidR="00651B58" w:rsidRPr="00A04DDF" w:rsidTr="00A04DDF">
        <w:tc>
          <w:tcPr>
            <w:tcW w:w="10343" w:type="dxa"/>
            <w:gridSpan w:val="3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 xml:space="preserve">                    РАСХОДЫ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60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Целевые мероприятия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Показывается общая сумма средств, израсходованных на целевые мероприятия.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Под целевыми мероприятиями понимаются мероприятия, которые осуществляются профсоюзной организацией в уставных целях. Данные, отражаемые по строке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 xml:space="preserve">, являются суммой показателей в строках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61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62,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64, 65, 66, 67, 68,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более подробно характеризующих израсходованные на целевые мероприятия средства.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61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 – пропагандистская работа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Указываются расходы на информационную работу, в частности оплата: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6"/>
              </w:numPr>
              <w:suppressAutoHyphens/>
              <w:spacing w:after="0" w:line="276" w:lineRule="auto"/>
              <w:ind w:left="601" w:hanging="241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услуг связи (расходы на рассылку информационных материалов);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601" w:hanging="241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доступа в Интернет;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6"/>
              </w:numPr>
              <w:tabs>
                <w:tab w:val="left" w:pos="1789"/>
              </w:tabs>
              <w:suppressAutoHyphens/>
              <w:spacing w:after="0" w:line="276" w:lineRule="auto"/>
              <w:ind w:left="601" w:hanging="241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содержания сайта;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6"/>
              </w:numPr>
              <w:tabs>
                <w:tab w:val="left" w:pos="1789"/>
              </w:tabs>
              <w:suppressAutoHyphens/>
              <w:spacing w:after="0" w:line="276" w:lineRule="auto"/>
              <w:ind w:left="601" w:hanging="241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обслуживания и приобретения программ;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6"/>
              </w:numPr>
              <w:tabs>
                <w:tab w:val="left" w:pos="1789"/>
              </w:tabs>
              <w:suppressAutoHyphens/>
              <w:spacing w:after="0" w:line="276" w:lineRule="auto"/>
              <w:ind w:left="601" w:hanging="241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издания информационно-методической литературы;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6"/>
              </w:numPr>
              <w:tabs>
                <w:tab w:val="left" w:pos="1778"/>
              </w:tabs>
              <w:suppressAutoHyphens/>
              <w:spacing w:after="0" w:line="276" w:lineRule="auto"/>
              <w:ind w:left="601" w:hanging="241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работы взаимодействия со СМИ;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6"/>
              </w:numPr>
              <w:tabs>
                <w:tab w:val="left" w:pos="1778"/>
              </w:tabs>
              <w:suppressAutoHyphens/>
              <w:spacing w:after="0" w:line="276" w:lineRule="auto"/>
              <w:ind w:left="601" w:hanging="241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консультационных и информационных услуг и других.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62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Подготовка и обучение профсоюзных кадров и актива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Показываются расходы на повышение квалификации, подготовку и переподготовку кадрового состава, обучение профсоюзного актива.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63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Работа с молодежью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расходы на реализацию молодежной политики (Советы молодых педагогов, молодежные форумы, молодежный тренинг-лагерь, формирование и обучение лекторов из числа молодых педагогов и студентов и др.)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64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Проведение конференций, комитетов, президиумов, совещаний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Отражаются расходы:</w:t>
            </w:r>
          </w:p>
          <w:p w:rsidR="00651B58" w:rsidRPr="00A04DDF" w:rsidRDefault="00651B58" w:rsidP="00A04DDF">
            <w:pPr>
              <w:numPr>
                <w:ilvl w:val="0"/>
                <w:numId w:val="5"/>
              </w:numPr>
              <w:suppressAutoHyphens/>
              <w:spacing w:after="0" w:line="276" w:lineRule="auto"/>
              <w:ind w:left="622" w:hanging="284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аренда конференц-зала;</w:t>
            </w:r>
          </w:p>
          <w:p w:rsidR="00651B58" w:rsidRPr="00A04DDF" w:rsidRDefault="00651B58" w:rsidP="00A04DDF">
            <w:pPr>
              <w:numPr>
                <w:ilvl w:val="0"/>
                <w:numId w:val="5"/>
              </w:numPr>
              <w:suppressAutoHyphens/>
              <w:spacing w:after="0" w:line="276" w:lineRule="auto"/>
              <w:ind w:left="622" w:hanging="284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транспортное обслуживание участников мероприятия;</w:t>
            </w:r>
          </w:p>
          <w:p w:rsidR="00651B58" w:rsidRPr="00A04DDF" w:rsidRDefault="00651B58" w:rsidP="00A04DDF">
            <w:pPr>
              <w:numPr>
                <w:ilvl w:val="0"/>
                <w:numId w:val="5"/>
              </w:numPr>
              <w:tabs>
                <w:tab w:val="left" w:pos="1714"/>
              </w:tabs>
              <w:suppressAutoHyphens/>
              <w:spacing w:after="0" w:line="276" w:lineRule="auto"/>
              <w:ind w:left="622" w:hanging="284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проживание участников мероприятия;</w:t>
            </w:r>
          </w:p>
          <w:p w:rsidR="00651B58" w:rsidRPr="00A04DDF" w:rsidRDefault="00651B58" w:rsidP="00A04DDF">
            <w:pPr>
              <w:numPr>
                <w:ilvl w:val="0"/>
                <w:numId w:val="4"/>
              </w:numPr>
              <w:tabs>
                <w:tab w:val="left" w:pos="1714"/>
              </w:tabs>
              <w:suppressAutoHyphens/>
              <w:spacing w:after="0" w:line="276" w:lineRule="auto"/>
              <w:ind w:left="622" w:hanging="284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фуршетное обслуживание;</w:t>
            </w:r>
          </w:p>
          <w:p w:rsidR="00651B58" w:rsidRPr="00A04DDF" w:rsidRDefault="00651B58" w:rsidP="00A04DDF">
            <w:pPr>
              <w:numPr>
                <w:ilvl w:val="0"/>
                <w:numId w:val="4"/>
              </w:numPr>
              <w:tabs>
                <w:tab w:val="left" w:pos="1714"/>
              </w:tabs>
              <w:suppressAutoHyphens/>
              <w:spacing w:after="0" w:line="276" w:lineRule="auto"/>
              <w:ind w:left="622" w:hanging="284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канцелярские расходы;</w:t>
            </w:r>
          </w:p>
          <w:p w:rsidR="00651B58" w:rsidRPr="00A04DDF" w:rsidRDefault="00651B58" w:rsidP="00A04DDF">
            <w:pPr>
              <w:numPr>
                <w:ilvl w:val="0"/>
                <w:numId w:val="4"/>
              </w:numPr>
              <w:tabs>
                <w:tab w:val="left" w:pos="1714"/>
              </w:tabs>
              <w:suppressAutoHyphens/>
              <w:spacing w:after="0" w:line="276" w:lineRule="auto"/>
              <w:ind w:left="622" w:hanging="284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color w:val="000000"/>
              </w:rPr>
              <w:t>расходы на методическую литературу, раздаточные</w:t>
            </w:r>
            <w:r w:rsidRPr="00A04DDF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651B58" w:rsidRPr="00A04DDF" w:rsidRDefault="00651B58" w:rsidP="00A04DDF">
            <w:pPr>
              <w:tabs>
                <w:tab w:val="left" w:pos="1714"/>
              </w:tabs>
              <w:spacing w:after="0" w:line="276" w:lineRule="auto"/>
              <w:ind w:left="622" w:hanging="284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color w:val="FF0000"/>
              </w:rPr>
              <w:t xml:space="preserve">     </w:t>
            </w:r>
            <w:r w:rsidRPr="00A04DDF">
              <w:rPr>
                <w:rFonts w:ascii="Times New Roman" w:hAnsi="Times New Roman"/>
                <w:color w:val="000000"/>
              </w:rPr>
              <w:t>материалы</w:t>
            </w:r>
            <w:r w:rsidRPr="00A04DDF">
              <w:rPr>
                <w:rFonts w:ascii="Times New Roman" w:hAnsi="Times New Roman"/>
                <w:color w:val="FF0000"/>
              </w:rPr>
              <w:t xml:space="preserve"> </w:t>
            </w:r>
            <w:r w:rsidRPr="00A04DDF">
              <w:rPr>
                <w:rFonts w:ascii="Times New Roman" w:hAnsi="Times New Roman"/>
              </w:rPr>
              <w:t>и тому подобное;</w:t>
            </w:r>
          </w:p>
          <w:p w:rsidR="00651B58" w:rsidRPr="00A04DDF" w:rsidRDefault="00651B58" w:rsidP="00A04DDF">
            <w:pPr>
              <w:numPr>
                <w:ilvl w:val="0"/>
                <w:numId w:val="4"/>
              </w:numPr>
              <w:tabs>
                <w:tab w:val="left" w:pos="1701"/>
              </w:tabs>
              <w:suppressAutoHyphens/>
              <w:spacing w:after="0" w:line="276" w:lineRule="auto"/>
              <w:ind w:left="622" w:hanging="284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гонорары приглашенным лекторам, включая     начисления.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65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Культурно-массовые мероприятия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расходы, связанные с проведением культурно-массовых мероприятий (вечера отдыха, чествование ветеранов труда, экскурсии выходного дня, тематические вечера и т.д.).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66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Спортивные мероприятия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расходы на проведение соревнований, туристических слетов, олимпиад, посещение бассейна и т.д.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67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Проведение внутрисоюзных, территориальных и профессиональных конкурсов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расходы на проведение внутрисоюзных, территориальных и профессиональных конкурсов.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68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Инновационная деятельность Профсоюза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Показывается сумма строк 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>68.1 - 68.4.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68.1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Пенсионное обеспечение членов Профсоюза (НПФ)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расходы на пенсионное обеспечение членов Профсоюза (НПФ).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68.2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Кредитно-потребительские кооперативы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расходы на Кредитно-потребительские кооперативы. 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68.3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Оздоровление и отдых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расходы на оздоровление и отдых.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68.4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Добровольное медицинское страхование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расходы на добровольное медицинское страхование.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70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Социальная и благотворительная помощь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Показываются расходы на оказание материальной помощи членам Профсоюза и профсоюзным организациям в связи со стихийными бедствиями.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80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Материальная помощь членам Профсоюза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суммы материальной помощи, выданной членам Профсоюза по их письменным заявлениям согласно Положению о выдаче материальной помощи и решению соответствующего профсоюзного органа.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90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Премирование профактива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суммы премий профсоюзному активу, выданных членам Профсоюза согласно Положению о премировании.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100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Международная работа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Показываются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04DDF">
              <w:rPr>
                <w:rFonts w:ascii="Times New Roman" w:hAnsi="Times New Roman"/>
                <w:sz w:val="28"/>
                <w:szCs w:val="28"/>
              </w:rPr>
              <w:t>расходы, произведенные организацией Профсоюза на ведение международной деятельности.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110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Расходы, связанные с организацией и обеспечением деятельности аппарата организации Профсоюза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Показывается общая сумма средств, использованных на обеспечение деятельности аппарата профсоюзной организации по строкам</w:t>
            </w:r>
            <w:r w:rsidRPr="00A04DDF">
              <w:rPr>
                <w:rFonts w:ascii="Times New Roman" w:hAnsi="Times New Roman"/>
                <w:b/>
                <w:sz w:val="28"/>
                <w:szCs w:val="28"/>
              </w:rPr>
              <w:t xml:space="preserve"> 111-119.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111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Оплата труда с начислениями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расходы профсоюзной организации на оплату труда штатных профсоюзных работников, совместителей, оплату труда работников по договорам возмездного оказания услуг, в соответствии с Положением об оплате труда с учетом начислений.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112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Выплаты, не связанные с оплатой труда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расходы организации на выплаты социального характера, а также прочие выплаты, не связанные с оплатой труда.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К указанным выплатам, в частности, относятся: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622" w:hanging="284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 xml:space="preserve">единовременное пособие в связи с уходом на пенсию в соответствии с Положением об оплате труда; 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622" w:hanging="284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оплата проезда к месту работы транспортом общего пользования;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622" w:hanging="284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материальная помощь, предоставленная отдельным работникам в связи с чрезвычайными обстоятельствами;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622" w:hanging="284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материальная помощь к ежегодному оплачиваемому отпуску.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113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Командировки и деловые поездки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командировочные расходы профсоюзной организации. 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Под служебной командировкой понимается поездка работника по распоряжению работодателя на определенный срок для выполнения служебного поручения вне места постоянной работы (ст. 166 ТК РФ). 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К расходам на служебные командировки, в частности, относятся: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стоимость проезда;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расходы по найму жилого помещения;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дополнительные расходы, связанные с проживанием вне места постоянного жительства (суточные);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иные расходы, произведенные работником в соответствии с Положением «О служебных командировках».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114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Показываются эксплуатационные расходы по содержанию и обслуживанию зданий, помещений, сооружений, оборудования, инвентаря и тому подобные, а также затраты на содержание служебных автомобилей. К расходам на содержание помещений, зданий, автомобильного транспорта и иного имущества, как правило, относятся: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затраты на аренду помещения;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оплата стоимости услуг по электроснабжению, обеспечению теплом, водоснабжению, канализации, оказываемых специализированными организациями, и тому подобное;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затраты по обслуживанию компьютеров, факсов, ксероксов (расходные материалы);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затраты на аренду автомобиля;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оплата стоимости топлива и иных, расходуемых в процессе эксплуатации транспортного средства, материалов;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оплата за проведение государственного технического осмотра трансп. средств;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страхование транспортного средства;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spacing w:after="0" w:line="276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транспортный налог;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spacing w:after="0" w:line="276" w:lineRule="auto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</w:rPr>
              <w:t>налог на имущество</w:t>
            </w:r>
            <w:r w:rsidRPr="00A04DDF">
              <w:rPr>
                <w:rFonts w:ascii="Times New Roman" w:hAnsi="Times New Roman"/>
                <w:lang w:val="en-US"/>
              </w:rPr>
              <w:t>;</w:t>
            </w:r>
          </w:p>
          <w:p w:rsidR="00651B58" w:rsidRPr="00A04DDF" w:rsidRDefault="00651B58" w:rsidP="00A04DDF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spacing w:after="0" w:line="276" w:lineRule="auto"/>
              <w:rPr>
                <w:rFonts w:ascii="Times New Roman" w:hAnsi="Times New Roman"/>
                <w:i/>
              </w:rPr>
            </w:pPr>
            <w:r w:rsidRPr="00A04DDF">
              <w:rPr>
                <w:rFonts w:ascii="Times New Roman" w:hAnsi="Times New Roman"/>
              </w:rPr>
              <w:t>земельный налог.</w:t>
            </w:r>
          </w:p>
          <w:p w:rsidR="00651B58" w:rsidRPr="00A04DDF" w:rsidRDefault="00651B58" w:rsidP="00A04DDF">
            <w:pPr>
              <w:pStyle w:val="ListParagraph"/>
              <w:tabs>
                <w:tab w:val="left" w:pos="1440"/>
              </w:tabs>
              <w:spacing w:after="0" w:line="276" w:lineRule="auto"/>
              <w:rPr>
                <w:rFonts w:ascii="Times New Roman" w:hAnsi="Times New Roman"/>
                <w:i/>
              </w:rPr>
            </w:pP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115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Ремонт основных средств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затраты профсоюзной организации на текущий, средний и капитальный ремонт объектов основных средств и иного имущества.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>К ремонту относятся работы по систематическому и своевременному предохранению имущества от преждевременного износа и его поддержанию в рабочем состоянии.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116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Следует указать расходы организации на приобретение основных средств.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117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sz w:val="28"/>
                <w:szCs w:val="28"/>
              </w:rPr>
              <w:t>Хозяйственные расходы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sz w:val="28"/>
                <w:szCs w:val="28"/>
              </w:rPr>
              <w:t xml:space="preserve">   Отражаются затраты организации, не предусмотренные выше (почтовые, канцелярские, услуги связи и другие).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118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Услуги банка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Отражаются затраты организации на оплату услуг банка.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119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Указываются расходы профсоюзной организации, которые не поименованы в строках с </w:t>
            </w: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111 </w:t>
            </w: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118</w:t>
            </w: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120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Отчисления членских профсоюзных взносов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Показывается сумма строк </w:t>
            </w: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121</w:t>
            </w: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124</w:t>
            </w: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121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Центральный Совет Профсоюза (начислено)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Показываются   начисленные членские профсоюзные взносы в Центральный Совет Общероссийского Профсоюза образования.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122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Территориальные объединения Профсоюзов (ТООП)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Показываются членские профсоюзные взносы в территориальные объединения Профсоюзов (Советы Федерации).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123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Ассоциации Профсоюзов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Показываются членские профсоюзные взносы в Ассоциации Профсоюзов.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124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Иные организации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Показываются членские профсоюзные взносы в иные организации, которые не поименованы в строках </w:t>
            </w: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121-123</w:t>
            </w: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130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Прочие расходы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33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Показываются:</w:t>
            </w:r>
          </w:p>
          <w:p w:rsidR="00651B58" w:rsidRPr="00A04DDF" w:rsidRDefault="00651B58" w:rsidP="00A04DDF">
            <w:pPr>
              <w:numPr>
                <w:ilvl w:val="0"/>
                <w:numId w:val="7"/>
              </w:numPr>
              <w:tabs>
                <w:tab w:val="left" w:pos="1429"/>
              </w:tabs>
              <w:suppressAutoHyphens/>
              <w:spacing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04DDF">
              <w:rPr>
                <w:rFonts w:ascii="Times New Roman" w:hAnsi="Times New Roman"/>
                <w:color w:val="000000"/>
              </w:rPr>
              <w:t>затраты, связанные с ревизией или аудиторской проверкой финансово-хозяйственной деятельности организации;</w:t>
            </w:r>
          </w:p>
          <w:p w:rsidR="00651B58" w:rsidRPr="00A04DDF" w:rsidRDefault="00651B58" w:rsidP="00A04DDF">
            <w:pPr>
              <w:numPr>
                <w:ilvl w:val="0"/>
                <w:numId w:val="7"/>
              </w:numPr>
              <w:tabs>
                <w:tab w:val="left" w:pos="1429"/>
              </w:tabs>
              <w:suppressAutoHyphens/>
              <w:spacing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04DDF">
              <w:rPr>
                <w:rFonts w:ascii="Times New Roman" w:hAnsi="Times New Roman"/>
                <w:color w:val="000000"/>
              </w:rPr>
              <w:t>убытки прошлых лет, признанные в отчетном году;</w:t>
            </w:r>
          </w:p>
          <w:p w:rsidR="00651B58" w:rsidRPr="00A04DDF" w:rsidRDefault="00651B58" w:rsidP="00A04DDF">
            <w:pPr>
              <w:numPr>
                <w:ilvl w:val="0"/>
                <w:numId w:val="7"/>
              </w:numPr>
              <w:tabs>
                <w:tab w:val="left" w:pos="1429"/>
              </w:tabs>
              <w:suppressAutoHyphens/>
              <w:spacing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04DDF">
              <w:rPr>
                <w:rFonts w:ascii="Times New Roman" w:hAnsi="Times New Roman"/>
                <w:color w:val="000000"/>
              </w:rPr>
              <w:t>суммы дебиторской задолженности, по которой истек срок исковой давности, других долгов, нереальных для взыскания;</w:t>
            </w:r>
          </w:p>
          <w:p w:rsidR="00651B58" w:rsidRPr="00A04DDF" w:rsidRDefault="00651B58" w:rsidP="00A04DDF">
            <w:pPr>
              <w:numPr>
                <w:ilvl w:val="0"/>
                <w:numId w:val="7"/>
              </w:numPr>
              <w:tabs>
                <w:tab w:val="left" w:pos="1429"/>
              </w:tabs>
              <w:suppressAutoHyphens/>
              <w:spacing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04DDF">
              <w:rPr>
                <w:rFonts w:ascii="Times New Roman" w:hAnsi="Times New Roman"/>
                <w:color w:val="000000"/>
              </w:rPr>
              <w:t>нотариальные услуги.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140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33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Показывают сумму средств по строкам </w:t>
            </w:r>
          </w:p>
          <w:p w:rsidR="00651B58" w:rsidRPr="00A04DDF" w:rsidRDefault="00651B58" w:rsidP="00A04DDF">
            <w:pPr>
              <w:spacing w:after="0" w:line="33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60, 70, 80, 90, 100, 110, 120, 130.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150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Остаток средств на конец отчетного года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Заполняется автоматически.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(строка </w:t>
            </w: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+ строка </w:t>
            </w: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50</w:t>
            </w: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строка </w:t>
            </w: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). </w:t>
            </w:r>
          </w:p>
          <w:p w:rsidR="00651B58" w:rsidRPr="00A04DDF" w:rsidRDefault="00651B58" w:rsidP="00A04D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Показатель строки </w:t>
            </w: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150</w:t>
            </w: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должен совпадать с кредитовым сальдо по счету </w:t>
            </w: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86</w:t>
            </w: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Целевое финансирование» </w:t>
            </w: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конец отчетного периода. </w:t>
            </w:r>
          </w:p>
        </w:tc>
      </w:tr>
      <w:tr w:rsidR="00651B58" w:rsidRPr="00A04DDF" w:rsidTr="00A04DDF">
        <w:tc>
          <w:tcPr>
            <w:tcW w:w="851" w:type="dxa"/>
          </w:tcPr>
          <w:p w:rsidR="00651B58" w:rsidRPr="00A04DDF" w:rsidRDefault="00651B58" w:rsidP="00A0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04DDF">
              <w:rPr>
                <w:rFonts w:ascii="Times New Roman" w:hAnsi="Times New Roman"/>
                <w:b/>
                <w:sz w:val="30"/>
                <w:szCs w:val="30"/>
              </w:rPr>
              <w:t>160</w:t>
            </w:r>
          </w:p>
        </w:tc>
        <w:tc>
          <w:tcPr>
            <w:tcW w:w="3665" w:type="dxa"/>
          </w:tcPr>
          <w:p w:rsidR="00651B58" w:rsidRPr="00A04DDF" w:rsidRDefault="00651B58" w:rsidP="00A04DDF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% расход/доход</w:t>
            </w:r>
          </w:p>
        </w:tc>
        <w:tc>
          <w:tcPr>
            <w:tcW w:w="5827" w:type="dxa"/>
          </w:tcPr>
          <w:p w:rsidR="00651B58" w:rsidRPr="00A04DDF" w:rsidRDefault="00651B58" w:rsidP="00A04DDF">
            <w:pPr>
              <w:spacing w:after="0" w:line="33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Заполняется автоматически.</w:t>
            </w:r>
          </w:p>
        </w:tc>
      </w:tr>
    </w:tbl>
    <w:p w:rsidR="00651B58" w:rsidRPr="00A601FD" w:rsidRDefault="00651B58" w:rsidP="00D95762">
      <w:pPr>
        <w:rPr>
          <w:rFonts w:ascii="Times New Roman" w:hAnsi="Times New Roman"/>
        </w:rPr>
      </w:pPr>
    </w:p>
    <w:sectPr w:rsidR="00651B58" w:rsidRPr="00A601FD" w:rsidSect="0088773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B58" w:rsidRDefault="00651B58" w:rsidP="00134D37">
      <w:pPr>
        <w:spacing w:after="0" w:line="240" w:lineRule="auto"/>
      </w:pPr>
      <w:r>
        <w:separator/>
      </w:r>
    </w:p>
  </w:endnote>
  <w:endnote w:type="continuationSeparator" w:id="0">
    <w:p w:rsidR="00651B58" w:rsidRDefault="00651B58" w:rsidP="0013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58" w:rsidRDefault="00651B58">
    <w:pPr>
      <w:pStyle w:val="Footer"/>
      <w:jc w:val="center"/>
    </w:pPr>
  </w:p>
  <w:p w:rsidR="00651B58" w:rsidRDefault="00651B58" w:rsidP="00D92257">
    <w:pPr>
      <w:pStyle w:val="Footer"/>
    </w:pPr>
    <w:r>
      <w:rPr>
        <w:lang w:val="en-US"/>
      </w:rPr>
      <w:t xml:space="preserve">                                                                                              </w:t>
    </w:r>
    <w:fldSimple w:instr="PAGE   \* MERGEFORMAT">
      <w:r>
        <w:rPr>
          <w:noProof/>
        </w:rPr>
        <w:t>6</w:t>
      </w:r>
    </w:fldSimple>
  </w:p>
  <w:p w:rsidR="00651B58" w:rsidRDefault="00651B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B58" w:rsidRDefault="00651B58" w:rsidP="00134D37">
      <w:pPr>
        <w:spacing w:after="0" w:line="240" w:lineRule="auto"/>
      </w:pPr>
      <w:r>
        <w:separator/>
      </w:r>
    </w:p>
  </w:footnote>
  <w:footnote w:type="continuationSeparator" w:id="0">
    <w:p w:rsidR="00651B58" w:rsidRDefault="00651B58" w:rsidP="00134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3"/>
    <w:lvl w:ilvl="0">
      <w:numFmt w:val="bullet"/>
      <w:lvlText w:val="•"/>
      <w:lvlJc w:val="left"/>
      <w:pPr>
        <w:ind w:left="1429" w:hanging="360"/>
      </w:pPr>
      <w:rPr>
        <w:rFonts w:ascii="Times New Roman" w:hAnsi="Times New Roman"/>
      </w:rPr>
    </w:lvl>
  </w:abstractNum>
  <w:abstractNum w:abstractNumId="2">
    <w:nsid w:val="00000006"/>
    <w:multiLevelType w:val="multilevel"/>
    <w:tmpl w:val="00000006"/>
    <w:name w:val="WW8Num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2811587B"/>
    <w:multiLevelType w:val="hybridMultilevel"/>
    <w:tmpl w:val="808E4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5A1FA7"/>
    <w:multiLevelType w:val="multilevel"/>
    <w:tmpl w:val="0B0E84B6"/>
    <w:lvl w:ilvl="0">
      <w:numFmt w:val="bullet"/>
      <w:lvlText w:val="•"/>
      <w:lvlJc w:val="left"/>
      <w:pPr>
        <w:tabs>
          <w:tab w:val="num" w:pos="1776"/>
        </w:tabs>
        <w:ind w:left="1776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/>
      </w:rPr>
    </w:lvl>
  </w:abstractNum>
  <w:abstractNum w:abstractNumId="5">
    <w:nsid w:val="4ECB115B"/>
    <w:multiLevelType w:val="hybridMultilevel"/>
    <w:tmpl w:val="9A72B82A"/>
    <w:lvl w:ilvl="0" w:tplc="00000003">
      <w:numFmt w:val="bullet"/>
      <w:lvlText w:val="•"/>
      <w:lvlJc w:val="left"/>
      <w:pPr>
        <w:ind w:left="1429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2755BA"/>
    <w:multiLevelType w:val="hybridMultilevel"/>
    <w:tmpl w:val="183062D0"/>
    <w:lvl w:ilvl="0" w:tplc="00000003">
      <w:numFmt w:val="bullet"/>
      <w:lvlText w:val="•"/>
      <w:lvlJc w:val="left"/>
      <w:pPr>
        <w:ind w:left="1776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B185F6D"/>
    <w:multiLevelType w:val="hybridMultilevel"/>
    <w:tmpl w:val="873A3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73021"/>
    <w:multiLevelType w:val="hybridMultilevel"/>
    <w:tmpl w:val="EA9E5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B462E"/>
    <w:multiLevelType w:val="hybridMultilevel"/>
    <w:tmpl w:val="0F708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765AA"/>
    <w:multiLevelType w:val="hybridMultilevel"/>
    <w:tmpl w:val="DAD815E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C24"/>
    <w:rsid w:val="000053D4"/>
    <w:rsid w:val="00045A94"/>
    <w:rsid w:val="00125C06"/>
    <w:rsid w:val="00134D37"/>
    <w:rsid w:val="0018785A"/>
    <w:rsid w:val="002852A5"/>
    <w:rsid w:val="002C08F6"/>
    <w:rsid w:val="002E5236"/>
    <w:rsid w:val="002F4559"/>
    <w:rsid w:val="003B6549"/>
    <w:rsid w:val="003C4411"/>
    <w:rsid w:val="003D28EC"/>
    <w:rsid w:val="004845DE"/>
    <w:rsid w:val="004B6D8B"/>
    <w:rsid w:val="004F08B2"/>
    <w:rsid w:val="005054BE"/>
    <w:rsid w:val="00510D9E"/>
    <w:rsid w:val="0051525A"/>
    <w:rsid w:val="0058262E"/>
    <w:rsid w:val="00651B58"/>
    <w:rsid w:val="006B62B9"/>
    <w:rsid w:val="00705B53"/>
    <w:rsid w:val="00726EBA"/>
    <w:rsid w:val="00734C24"/>
    <w:rsid w:val="00846EE2"/>
    <w:rsid w:val="0088773A"/>
    <w:rsid w:val="00924A5F"/>
    <w:rsid w:val="00981C84"/>
    <w:rsid w:val="0098623F"/>
    <w:rsid w:val="00996E3F"/>
    <w:rsid w:val="009D11AC"/>
    <w:rsid w:val="00A04DDF"/>
    <w:rsid w:val="00A601FD"/>
    <w:rsid w:val="00A94368"/>
    <w:rsid w:val="00AF00B5"/>
    <w:rsid w:val="00B03720"/>
    <w:rsid w:val="00BA28C9"/>
    <w:rsid w:val="00C5707A"/>
    <w:rsid w:val="00CC38F9"/>
    <w:rsid w:val="00D61DA4"/>
    <w:rsid w:val="00D92257"/>
    <w:rsid w:val="00D95762"/>
    <w:rsid w:val="00E9085E"/>
    <w:rsid w:val="00E92AC2"/>
    <w:rsid w:val="00EC4C3A"/>
    <w:rsid w:val="00ED4883"/>
    <w:rsid w:val="00F07958"/>
    <w:rsid w:val="00F50C5E"/>
    <w:rsid w:val="00F91ED5"/>
    <w:rsid w:val="00FE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3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4C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D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1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E5236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134D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3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34D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4D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293</TotalTime>
  <Pages>7</Pages>
  <Words>1568</Words>
  <Characters>8940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</dc:creator>
  <cp:keywords/>
  <dc:description/>
  <cp:lastModifiedBy>user</cp:lastModifiedBy>
  <cp:revision>31</cp:revision>
  <cp:lastPrinted>2017-11-24T12:29:00Z</cp:lastPrinted>
  <dcterms:created xsi:type="dcterms:W3CDTF">2017-11-23T12:46:00Z</dcterms:created>
  <dcterms:modified xsi:type="dcterms:W3CDTF">2018-01-16T08:06:00Z</dcterms:modified>
</cp:coreProperties>
</file>