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6FC87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</w:p>
    <w:p>
      <w:pPr>
        <w:pStyle w:val="P1"/>
        <w:ind w:firstLine="420" w:left="-1275"/>
        <w:rPr>
          <w:b w:val="1"/>
          <w:sz w:val="48"/>
        </w:rPr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margin">
              <wp:align>right</wp:align>
            </wp:positionH>
            <wp:positionV relativeFrom="paragraph">
              <wp:posOffset>297180</wp:posOffset>
            </wp:positionV>
            <wp:extent cx="1781175" cy="1333500"/>
            <wp:wrapNone/>
            <wp:docPr id="1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333500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2" distL="114300" distR="114300">
            <wp:simplePos x="0" y="0"/>
            <wp:positionH relativeFrom="column">
              <wp:posOffset>-546735</wp:posOffset>
            </wp:positionH>
            <wp:positionV relativeFrom="paragraph">
              <wp:posOffset>1905</wp:posOffset>
            </wp:positionV>
            <wp:extent cx="2943225" cy="2009775"/>
            <wp:wrapNone/>
            <wp:docPr id="2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009775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</w:p>
    <w:p>
      <w:pPr>
        <w:pStyle w:val="P1"/>
        <w:ind w:firstLine="1125" w:left="6510" w:right="-270"/>
        <w:rPr>
          <w:b w:val="1"/>
          <w:sz w:val="48"/>
        </w:rPr>
      </w:pPr>
    </w:p>
    <w:p>
      <w:pPr>
        <w:pStyle w:val="P1"/>
        <w:jc w:val="center"/>
        <w:rPr>
          <w:b w:val="1"/>
          <w:noProof w:val="1"/>
          <w:sz w:val="48"/>
        </w:rPr>
      </w:pPr>
    </w:p>
    <w:p>
      <w:pPr>
        <w:pStyle w:val="P1"/>
        <w:jc w:val="center"/>
        <w:rPr>
          <w:b w:val="1"/>
          <w:noProof w:val="1"/>
          <w:sz w:val="48"/>
        </w:rPr>
      </w:pPr>
    </w:p>
    <w:p>
      <w:pPr>
        <w:pStyle w:val="P1"/>
        <w:jc w:val="center"/>
        <w:rPr>
          <w:b w:val="1"/>
          <w:color w:val="000080"/>
          <w:sz w:val="48"/>
        </w:rPr>
      </w:pPr>
    </w:p>
    <w:p>
      <w:pPr>
        <w:pStyle w:val="P1"/>
        <w:jc w:val="center"/>
        <w:rPr>
          <w:b w:val="1"/>
          <w:color w:val="000080"/>
          <w:sz w:val="48"/>
        </w:rPr>
      </w:pPr>
    </w:p>
    <w:p>
      <w:pPr>
        <w:pStyle w:val="P1"/>
        <w:jc w:val="center"/>
        <w:rPr>
          <w:b w:val="1"/>
          <w:color w:val="000080"/>
          <w:sz w:val="48"/>
        </w:rPr>
      </w:pPr>
    </w:p>
    <w:p>
      <w:pPr>
        <w:pStyle w:val="P1"/>
        <w:jc w:val="center"/>
        <w:rPr>
          <w:b w:val="1"/>
          <w:color w:val="000080"/>
          <w:sz w:val="48"/>
        </w:rPr>
      </w:pPr>
    </w:p>
    <w:p>
      <w:pPr>
        <w:pStyle w:val="P1"/>
        <w:jc w:val="center"/>
        <w:rPr>
          <w:b w:val="1"/>
          <w:color w:val="000080"/>
          <w:sz w:val="48"/>
        </w:rPr>
      </w:pPr>
    </w:p>
    <w:p>
      <w:pPr>
        <w:pStyle w:val="P1"/>
        <w:jc w:val="center"/>
        <w:rPr>
          <w:color w:val="000080"/>
          <w:sz w:val="48"/>
        </w:rPr>
      </w:pPr>
      <w:r>
        <w:rPr>
          <w:b w:val="1"/>
          <w:color w:val="000080"/>
          <w:sz w:val="48"/>
        </w:rPr>
        <w:t>ПУБЛИЧНЫЙ ОТЧЕТ</w:t>
      </w:r>
    </w:p>
    <w:p>
      <w:pPr>
        <w:pStyle w:val="P1"/>
        <w:rPr>
          <w:b w:val="1"/>
          <w:color w:val="BF0000"/>
          <w:sz w:val="32"/>
        </w:rPr>
      </w:pPr>
    </w:p>
    <w:p>
      <w:pPr>
        <w:pStyle w:val="P1"/>
        <w:jc w:val="center"/>
        <w:rPr>
          <w:color w:val="0000BF"/>
          <w:sz w:val="32"/>
        </w:rPr>
      </w:pPr>
      <w:r>
        <w:rPr>
          <w:b w:val="1"/>
          <w:color w:val="0000BF"/>
          <w:sz w:val="32"/>
        </w:rPr>
        <w:t>Кочевской территориальной организации</w:t>
      </w:r>
    </w:p>
    <w:p>
      <w:pPr>
        <w:pStyle w:val="P1"/>
        <w:jc w:val="center"/>
        <w:rPr>
          <w:b w:val="1"/>
          <w:color w:val="0000BF"/>
          <w:sz w:val="32"/>
        </w:rPr>
      </w:pPr>
      <w:r>
        <w:rPr>
          <w:b w:val="1"/>
          <w:color w:val="0000BF"/>
          <w:sz w:val="32"/>
        </w:rPr>
        <w:t>Профессионального союза работников народного образования</w:t>
      </w:r>
    </w:p>
    <w:p>
      <w:pPr>
        <w:pStyle w:val="P1"/>
        <w:jc w:val="center"/>
        <w:rPr>
          <w:b w:val="1"/>
          <w:color w:val="0000BF"/>
          <w:sz w:val="32"/>
        </w:rPr>
      </w:pPr>
      <w:r>
        <w:rPr>
          <w:b w:val="1"/>
          <w:color w:val="0000BF"/>
          <w:sz w:val="32"/>
        </w:rPr>
        <w:t>и науки РФза 2022 год</w:t>
      </w:r>
    </w:p>
    <w:p>
      <w:pPr>
        <w:pStyle w:val="P1"/>
        <w:jc w:val="center"/>
        <w:rPr>
          <w:b w:val="1"/>
          <w:color w:val="0000BF"/>
          <w:sz w:val="32"/>
        </w:rPr>
      </w:pPr>
    </w:p>
    <w:p>
      <w:pPr>
        <w:pStyle w:val="P1"/>
        <w:jc w:val="center"/>
        <w:rPr>
          <w:b w:val="1"/>
          <w:sz w:val="32"/>
        </w:rPr>
      </w:pPr>
      <w:r>
        <w:drawing>
          <wp:inline xmlns:wp="http://schemas.openxmlformats.org/drawingml/2006/wordprocessingDrawing">
            <wp:extent cx="5715000" cy="320802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08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75" w:beforeAutospacing="0" w:afterAutospacing="0"/>
        <w:contextualSpacing w:val="1"/>
        <w:jc w:val="both"/>
      </w:pPr>
      <w:r>
        <w:tab/>
      </w:r>
    </w:p>
    <w:p>
      <w:pPr>
        <w:spacing w:lineRule="auto" w:line="275" w:beforeAutospacing="0" w:afterAutospacing="0"/>
        <w:contextualSpacing w:val="1"/>
        <w:jc w:val="both"/>
      </w:pPr>
    </w:p>
    <w:p>
      <w:pPr>
        <w:spacing w:lineRule="auto" w:line="275" w:beforeAutospacing="0" w:afterAutospacing="0"/>
        <w:contextualSpacing w:val="1"/>
        <w:jc w:val="both"/>
      </w:pPr>
    </w:p>
    <w:p>
      <w:pPr>
        <w:spacing w:lineRule="auto" w:line="275" w:beforeAutospacing="0" w:afterAutospacing="0"/>
        <w:contextualSpacing w:val="1"/>
        <w:jc w:val="both"/>
      </w:pPr>
    </w:p>
    <w:p>
      <w:pPr>
        <w:spacing w:lineRule="auto" w:line="275" w:beforeAutospacing="0" w:afterAutospacing="0"/>
        <w:contextualSpacing w:val="1"/>
        <w:jc w:val="both"/>
      </w:pPr>
    </w:p>
    <w:p>
      <w:pPr>
        <w:spacing w:lineRule="auto" w:line="275" w:beforeAutospacing="0" w:afterAutospacing="0"/>
        <w:contextualSpacing w:val="1"/>
        <w:jc w:val="both"/>
      </w:pPr>
    </w:p>
    <w:p>
      <w:pPr>
        <w:spacing w:lineRule="auto" w:line="275" w:beforeAutospacing="0" w:afterAutospacing="0"/>
        <w:contextualSpacing w:val="1"/>
        <w:jc w:val="both"/>
      </w:pPr>
    </w:p>
    <w:p>
      <w:pPr>
        <w:spacing w:lineRule="auto" w:line="275" w:beforeAutospacing="0" w:afterAutospacing="0"/>
        <w:contextualSpacing w:val="1"/>
        <w:jc w:val="center"/>
        <w:rPr>
          <w:b w:val="1"/>
          <w:sz w:val="28"/>
        </w:rPr>
      </w:pPr>
    </w:p>
    <w:p>
      <w:pPr>
        <w:jc w:val="center"/>
        <w:rPr>
          <w:color w:val="000080"/>
        </w:rPr>
      </w:pPr>
      <w:r>
        <w:rPr>
          <w:rFonts w:ascii="Times New Roman" w:hAnsi="Times New Roman"/>
          <w:b w:val="1"/>
          <w:color w:val="000080"/>
          <w:sz w:val="26"/>
        </w:rPr>
        <w:t>с. Кочёво</w:t>
      </w:r>
    </w:p>
    <w:p>
      <w:pPr>
        <w:jc w:val="center"/>
      </w:pPr>
    </w:p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Деятельность профсоюзной организации в 2022 году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Цель:</w:t>
      </w:r>
      <w:r>
        <w:rPr>
          <w:rFonts w:ascii="Times New Roman" w:hAnsi="Times New Roman"/>
          <w:sz w:val="28"/>
        </w:rPr>
        <w:t xml:space="preserve"> Усиление работы по защите социально-экономических прав работников образования, вовлечение педагогов в профсоюзную деятельность, увеличение численности членов профсоюза.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>
      <w:pPr>
        <w:pStyle w:val="P17"/>
        <w:spacing w:lineRule="auto" w:line="276" w:beforeAutospacing="0" w:afterAutospacing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1. Сохранить и увеличить социальные гарантии работников образования.</w:t>
      </w:r>
    </w:p>
    <w:p>
      <w:pPr>
        <w:pStyle w:val="P17"/>
        <w:spacing w:lineRule="auto" w:line="276" w:beforeAutospacing="0" w:afterAutospacing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2. Увеличить численность членов профсоюза в территориальной организации Общероссийского Профсоюза образования.</w:t>
      </w:r>
    </w:p>
    <w:p>
      <w:pPr>
        <w:pStyle w:val="P17"/>
        <w:spacing w:lineRule="auto" w:line="276" w:beforeAutospacing="0" w:afterAutospacing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3. Продолжить работу по цифровизации профсоюзной деятельности.</w:t>
      </w:r>
    </w:p>
    <w:p>
      <w:pPr>
        <w:pStyle w:val="P17"/>
        <w:rPr>
          <w:rFonts w:ascii="Times New Roman" w:hAnsi="Times New Roman"/>
          <w:color w:val="auto"/>
          <w:sz w:val="28"/>
        </w:rPr>
      </w:pPr>
      <w:r>
        <w:rPr>
          <w:sz w:val="26"/>
        </w:rPr>
        <w:t>координация работы первичных профсоюзных организаций</w:t>
      </w:r>
    </w:p>
    <w:p>
      <w:pPr>
        <w:spacing w:lineRule="auto" w:line="276" w:beforeAutospacing="0" w:afterAutospacing="0"/>
        <w:ind w:firstLine="708"/>
        <w:jc w:val="both"/>
        <w:outlineLvl w:val="2"/>
        <w:rPr>
          <w:sz w:val="26"/>
        </w:rPr>
      </w:pPr>
      <w:r>
        <w:rPr>
          <w:rFonts w:ascii="Times New Roman" w:hAnsi="Times New Roman"/>
          <w:sz w:val="28"/>
        </w:rPr>
        <w:t xml:space="preserve">Цели, задачи деятельности территориальной организации  Профсоюза  базируются на действующем законодательстве, соответствуют требованиям Устава профессионального союза работников народного образования и науки РФ, решениям VIII съезда Общероссийского Профсоюза образования.</w:t>
      </w:r>
      <w:r>
        <w:rPr>
          <w:sz w:val="26"/>
        </w:rPr>
        <w:tab/>
      </w:r>
    </w:p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1. Общая характеристика  организации.</w:t>
      </w:r>
    </w:p>
    <w:p>
      <w:pPr>
        <w:spacing w:lineRule="auto" w:line="276" w:beforeAutospacing="0" w:afterAutospacing="0"/>
        <w:jc w:val="both"/>
        <w:rPr>
          <w:rFonts w:ascii="Times New Roman" w:hAnsi="Times New Roman"/>
          <w:sz w:val="28"/>
        </w:rPr>
      </w:pPr>
      <w:r>
        <w:rPr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По итогам 2022 года </w:t>
      </w:r>
      <w:r>
        <w:rPr>
          <w:rFonts w:ascii="Times New Roman" w:hAnsi="Times New Roman"/>
          <w:sz w:val="28"/>
        </w:rPr>
        <w:t xml:space="preserve">Кочевская территориальная организация Профессионального союза работников народного образования </w:t>
      </w:r>
      <w:r>
        <w:rPr>
          <w:rFonts w:ascii="Times New Roman" w:hAnsi="Times New Roman"/>
          <w:color w:val="000000"/>
          <w:sz w:val="28"/>
        </w:rPr>
        <w:t xml:space="preserve">объединяет 7 первичных профсоюзных организаций, в том числе 5 – общеобразовательные организации, 1 – дошкольная организация, 1 – дополнительное образование детей. Общий </w:t>
      </w:r>
      <w:r>
        <w:rPr>
          <w:rFonts w:ascii="Times New Roman" w:hAnsi="Times New Roman"/>
          <w:sz w:val="28"/>
        </w:rPr>
        <w:t xml:space="preserve">охват профсоюзным членством составляет 23,8 %, из них молодёжи составляет 39,6 %. </w:t>
      </w:r>
    </w:p>
    <w:p>
      <w:pPr>
        <w:spacing w:lineRule="auto" w:line="276" w:beforeAutospacing="0" w:afterAutospacing="0"/>
        <w:jc w:val="both"/>
        <w:rPr>
          <w:rFonts w:ascii="Times New Roman" w:hAnsi="Times New Roman"/>
          <w:sz w:val="28"/>
        </w:rPr>
      </w:pPr>
    </w:p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2. Методическая работа. 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b w:val="1"/>
          <w:color w:val="000000"/>
          <w:sz w:val="28"/>
          <w:shd w:val="clear" w:fill="FFFF00"/>
        </w:rPr>
      </w:pPr>
      <w:r>
        <w:rPr>
          <w:rFonts w:ascii="Times New Roman" w:hAnsi="Times New Roman"/>
          <w:sz w:val="28"/>
        </w:rPr>
        <w:t xml:space="preserve">Территориальная организация Профсоюза проводила свою деятельность  по плану, принятому на президиуме райкома профсоюза на 2022 год, по плану Совета молодых педагогов, также принимала участие в мероприятиях, проводимых управлением образования Кочевкого муниципального округа. </w:t>
      </w:r>
      <w:r>
        <w:rPr>
          <w:rFonts w:ascii="Times New Roman" w:hAnsi="Times New Roman"/>
          <w:color w:val="000000"/>
          <w:sz w:val="28"/>
        </w:rPr>
        <w:t>В соответствии с установленными нормами и планом работы проведены заседания выборных коллегиальных органов территориальной организации Профсоюза.</w:t>
      </w:r>
    </w:p>
    <w:p>
      <w:pPr>
        <w:pStyle w:val="P1"/>
        <w:spacing w:lineRule="auto" w:line="276" w:beforeAutospacing="0" w:afterAutospacing="0"/>
        <w:ind w:firstLine="708"/>
        <w:jc w:val="both"/>
        <w:rPr>
          <w:sz w:val="28"/>
        </w:rPr>
      </w:pPr>
      <w:r>
        <w:rPr>
          <w:sz w:val="28"/>
        </w:rPr>
        <w:t xml:space="preserve">На заседаниях райкома профсоюза рассматривались вопросы:  </w:t>
      </w:r>
    </w:p>
    <w:p>
      <w:pPr>
        <w:pStyle w:val="P4"/>
        <w:spacing w:lineRule="auto" w:line="276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Деятельность территориальной и первичных профсоюзных организаций  Профсоюза работников образования;</w:t>
      </w:r>
    </w:p>
    <w:p>
      <w:pPr>
        <w:pStyle w:val="P1"/>
        <w:spacing w:lineRule="auto" w:line="276" w:beforeAutospacing="0" w:afterAutospacing="0"/>
        <w:jc w:val="both"/>
        <w:rPr>
          <w:sz w:val="28"/>
        </w:rPr>
      </w:pPr>
      <w:r>
        <w:rPr>
          <w:sz w:val="28"/>
        </w:rPr>
        <w:t xml:space="preserve"> - Работа по мотивации профсоюзного членства в первичных профсоюзных организациях; </w:t>
      </w:r>
    </w:p>
    <w:p>
      <w:pPr>
        <w:pStyle w:val="P1"/>
        <w:spacing w:lineRule="auto" w:line="276" w:beforeAutospacing="0" w:afterAutospacing="0"/>
        <w:jc w:val="both"/>
        <w:rPr>
          <w:sz w:val="28"/>
        </w:rPr>
      </w:pPr>
      <w:r>
        <w:rPr>
          <w:sz w:val="28"/>
        </w:rPr>
        <w:t xml:space="preserve">-Деятельность Совета молодых педагогов; </w:t>
      </w:r>
    </w:p>
    <w:p>
      <w:pPr>
        <w:pStyle w:val="P1"/>
        <w:spacing w:lineRule="auto" w:line="276" w:beforeAutospacing="0" w:afterAutospacing="0"/>
        <w:jc w:val="both"/>
        <w:rPr>
          <w:sz w:val="28"/>
        </w:rPr>
      </w:pPr>
      <w:r>
        <w:rPr>
          <w:sz w:val="28"/>
        </w:rPr>
        <w:t>- Работа в АИС;</w:t>
      </w:r>
    </w:p>
    <w:p>
      <w:pPr>
        <w:spacing w:lineRule="auto" w:line="276" w:beforeAutospacing="0" w:afterAutospacing="0"/>
        <w:rPr>
          <w:rFonts w:ascii="Times New Roman" w:hAnsi="Times New Roman"/>
          <w:sz w:val="28"/>
        </w:rPr>
      </w:pPr>
      <w:bookmarkStart w:id="0" w:name="_dx_frag_StartFragment"/>
      <w:bookmarkEnd w:id="0"/>
      <w:r>
        <w:rPr>
          <w:rFonts w:ascii="Times New Roman" w:hAnsi="Times New Roman"/>
          <w:sz w:val="28"/>
        </w:rPr>
        <w:t>- Права и гарантии деятельности профсоюзов;</w:t>
      </w:r>
    </w:p>
    <w:p>
      <w:pPr>
        <w:spacing w:lineRule="auto" w:line="276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76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76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Организационная деятельность профсоюза, и её роль в достижении целей;</w:t>
      </w:r>
    </w:p>
    <w:p>
      <w:pPr>
        <w:pStyle w:val="P17"/>
        <w:spacing w:lineRule="auto" w:line="276" w:beforeAutospacing="0" w:afterAutospacing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- Социально-экономические аспекты деятельности Профсоюза;</w:t>
      </w:r>
    </w:p>
    <w:p>
      <w:pPr>
        <w:pStyle w:val="P17"/>
        <w:spacing w:lineRule="auto" w:line="276" w:beforeAutospacing="0" w:afterAutospacing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- Программа «Профсоюз+»;</w:t>
      </w:r>
    </w:p>
    <w:p>
      <w:pPr>
        <w:pStyle w:val="P4"/>
        <w:spacing w:lineRule="auto" w:line="276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Представлены информационные ролики крайкома Профсоюза. </w:t>
      </w:r>
    </w:p>
    <w:p>
      <w:pPr>
        <w:pStyle w:val="P4"/>
        <w:spacing w:lineRule="auto" w:line="276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Изменения в Законодательстве РФ об охране труда в 2022 г. </w:t>
      </w:r>
    </w:p>
    <w:p>
      <w:pPr>
        <w:spacing w:lineRule="auto" w:line="276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Продолжена работа по изучению нового Устава Профсоюза. </w:t>
        <w:tab/>
      </w:r>
    </w:p>
    <w:p>
      <w:pPr>
        <w:pStyle w:val="P4"/>
        <w:spacing w:lineRule="auto" w:line="276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декабре </w:t>
      </w:r>
      <w:r>
        <w:rPr>
          <w:rFonts w:ascii="Times New Roman" w:hAnsi="Times New Roman"/>
          <w:sz w:val="28"/>
        </w:rPr>
        <w:t xml:space="preserve">провели </w:t>
      </w:r>
      <w:r>
        <w:rPr>
          <w:rFonts w:ascii="Times New Roman" w:hAnsi="Times New Roman"/>
          <w:sz w:val="28"/>
        </w:rPr>
        <w:t>семинар:</w:t>
      </w:r>
    </w:p>
    <w:p>
      <w:pPr>
        <w:pStyle w:val="P4"/>
        <w:spacing w:lineRule="auto" w:line="276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статистического отчёта на 01.01 2023 года.</w:t>
      </w:r>
    </w:p>
    <w:p>
      <w:pPr>
        <w:pStyle w:val="P4"/>
        <w:spacing w:lineRule="auto" w:line="276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Проведена персональная работа с председателями ППО по заполнению реестра членов профсоюза в системе АИС. </w:t>
      </w:r>
    </w:p>
    <w:p>
      <w:pPr>
        <w:pStyle w:val="P4"/>
        <w:spacing w:lineRule="auto" w:line="276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План мероприятий на 2022 год.</w:t>
      </w:r>
    </w:p>
    <w:p>
      <w:pPr>
        <w:pStyle w:val="P4"/>
        <w:spacing w:lineRule="auto" w:line="276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</w:t>
      </w:r>
      <w:r>
        <w:rPr>
          <w:rFonts w:ascii="Times New Roman" w:hAnsi="Times New Roman"/>
          <w:sz w:val="28"/>
        </w:rPr>
        <w:t>провели</w:t>
      </w:r>
      <w:r>
        <w:rPr>
          <w:rFonts w:ascii="Times New Roman" w:hAnsi="Times New Roman"/>
          <w:sz w:val="28"/>
        </w:rPr>
        <w:t xml:space="preserve"> пленум райкома Профсоюза, приняты постановления: </w:t>
      </w:r>
    </w:p>
    <w:p>
      <w:pPr>
        <w:pStyle w:val="P4"/>
        <w:spacing w:lineRule="auto" w:line="276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 итогах работы за 2022 год территориальной, первичных профсоюзных организаций.</w:t>
      </w:r>
    </w:p>
    <w:p>
      <w:pPr>
        <w:pStyle w:val="P4"/>
        <w:spacing w:lineRule="auto" w:line="276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Об утверждении исполнения сметы доходов и расходов ТО Профсоюза за 2022 год. </w:t>
      </w:r>
    </w:p>
    <w:p>
      <w:pPr>
        <w:pStyle w:val="P4"/>
        <w:spacing w:lineRule="auto" w:line="276" w:beforeAutospacing="0" w:afterAutospacing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Об утверждении основных показателей сметы доходов и расходов ТО Профсоюза на 2023 год. 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О размере отчисления членских профсоюзных взносов на осуществление деятельности  территориальной организации Профсоюза.</w:t>
      </w:r>
    </w:p>
    <w:p>
      <w:pPr>
        <w:pStyle w:val="P1"/>
        <w:spacing w:lineRule="auto" w:line="276" w:beforeAutospacing="0" w:afterAutospacing="0"/>
        <w:ind w:firstLine="708"/>
        <w:jc w:val="both"/>
        <w:rPr>
          <w:sz w:val="28"/>
        </w:rPr>
      </w:pPr>
      <w:r>
        <w:rPr>
          <w:sz w:val="28"/>
        </w:rPr>
        <w:t>Председатель ТО систематически проводила работу по мотивации профсоюзного членства, встречи с руководителями образовательных организаций. Совместно с председателем Совета молодых педагогов проводили встречи с коллективами образовательных организаций. После бесед педагоги писали заявления о вступлении в Профсоюз.</w:t>
      </w:r>
    </w:p>
    <w:p>
      <w:pPr>
        <w:pStyle w:val="P1"/>
        <w:spacing w:lineRule="auto" w:line="276" w:beforeAutospacing="0" w:afterAutospacing="0"/>
        <w:ind w:firstLine="708"/>
        <w:jc w:val="both"/>
        <w:rPr>
          <w:sz w:val="28"/>
        </w:rPr>
      </w:pPr>
      <w:r>
        <w:rPr>
          <w:sz w:val="28"/>
        </w:rPr>
        <w:t>Принимала участие на всех совещаниях, семинарах и вебинарах, проводимых краевой организацией Профсоюза и ЦС Профсоюза.</w:t>
      </w:r>
    </w:p>
    <w:p>
      <w:pPr>
        <w:pStyle w:val="P1"/>
        <w:spacing w:lineRule="auto" w:line="276" w:beforeAutospacing="0" w:afterAutospacing="0"/>
        <w:ind w:firstLine="708"/>
        <w:jc w:val="both"/>
        <w:rPr>
          <w:sz w:val="28"/>
        </w:rPr>
      </w:pPr>
      <w:r>
        <w:rPr>
          <w:sz w:val="28"/>
        </w:rPr>
        <w:t>Территориальная организация Профсоюза активно принимала участие во всех акциях, конкурсах, мониторингах, а также была организатором и соучредителем спортивных мероприятий.</w:t>
      </w:r>
    </w:p>
    <w:p>
      <w:pPr>
        <w:spacing w:lineRule="auto" w:line="276" w:beforeAutospacing="0" w:afterAutospacing="0"/>
        <w:ind w:firstLine="708"/>
        <w:jc w:val="both"/>
        <w:outlineLvl w:val="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отчётном периоде комитет Профсоюза уделял особое внимание </w:t>
      </w:r>
    </w:p>
    <w:p>
      <w:pPr>
        <w:spacing w:lineRule="auto" w:line="276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 xml:space="preserve">правовой культуре профсоюзных кадров. Вновь избранные председатели первичных организаций прошли обучение онлайн </w:t>
      </w:r>
      <w:r>
        <w:rPr>
          <w:rFonts w:ascii="Times New Roman" w:hAnsi="Times New Roman"/>
          <w:sz w:val="28"/>
        </w:rPr>
        <w:t>на платформе ZOOM</w:t>
      </w:r>
      <w:r>
        <w:rPr>
          <w:rFonts w:ascii="Times New Roman" w:hAnsi="Times New Roman"/>
          <w:color w:val="000000"/>
          <w:sz w:val="28"/>
        </w:rPr>
        <w:t xml:space="preserve"> в количестве 2-х человек. </w:t>
      </w:r>
      <w:r>
        <w:rPr>
          <w:rFonts w:ascii="Times New Roman" w:hAnsi="Times New Roman"/>
          <w:sz w:val="28"/>
        </w:rPr>
        <w:t xml:space="preserve">Проводилась целенаправленная, эффективная  работа по мотивации профсоюзного членства в первичных профсоюзных организациях, велась работа по обучению профсоюзного актива. </w:t>
      </w:r>
    </w:p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 Социальное партнерство.</w:t>
      </w:r>
    </w:p>
    <w:p>
      <w:pPr>
        <w:pStyle w:val="P12"/>
        <w:shd w:val="clear" w:fill="FFFFFF"/>
        <w:spacing w:lineRule="auto" w:line="276" w:before="0" w:after="0" w:beforeAutospacing="0" w:afterAutospacing="0"/>
        <w:ind w:firstLine="708"/>
        <w:jc w:val="both"/>
        <w:rPr>
          <w:b w:val="1"/>
          <w:sz w:val="28"/>
        </w:rPr>
      </w:pPr>
      <w:r>
        <w:rPr>
          <w:sz w:val="28"/>
        </w:rPr>
        <w:t xml:space="preserve">Сложилась система социального партнерства, которая включает в себя трехстороннее территориальное соглашение, коллективные договоры, локальные нормативные акты образовательных </w:t>
      </w:r>
      <w:r>
        <w:rPr>
          <w:rStyle w:val="C4"/>
          <w:b w:val="0"/>
          <w:sz w:val="28"/>
        </w:rPr>
        <w:t xml:space="preserve">организаций. </w:t>
      </w:r>
      <w:r>
        <w:rPr>
          <w:sz w:val="28"/>
        </w:rPr>
        <w:tab/>
        <w:t xml:space="preserve">Основным документом социального партнерства между работодателем образовательной организации и первичной профсоюзной организацией является коллективный договор. Колдоговор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материальную помощь, компенсации, дополнительные оплачиваемые дни. Колдоговор  даёт возможность членам коллектива участвовать в управлении организацией, в регулировании трудовых отношений. Решение всех вопросов проходит путём конструктивного диалога с работодателями в интересах работников. 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Всю свою работу профсоюзные комитеты образовательных организаций строят на принципах социального партнерства и сотрудничества с администрацией школы в интересах работников.</w:t>
      </w:r>
    </w:p>
    <w:p>
      <w:pPr>
        <w:pStyle w:val="P10"/>
        <w:shd w:val="clear" w:fill="auto"/>
        <w:spacing w:lineRule="auto" w:line="276" w:before="0" w:after="0" w:beforeAutospacing="0" w:afterAutospacing="0"/>
        <w:ind w:firstLine="720" w:right="360"/>
      </w:pPr>
      <w:r>
        <w:t>Согласовываются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>
      <w:pPr>
        <w:pStyle w:val="P10"/>
        <w:shd w:val="clear" w:fill="auto"/>
        <w:spacing w:lineRule="auto" w:line="276" w:before="0" w:after="0" w:beforeAutospacing="0" w:afterAutospacing="0"/>
        <w:ind w:firstLine="720" w:right="320"/>
      </w:pPr>
      <w:r>
        <w:t xml:space="preserve">Председатели первичных профсоюзных организаций ОО принимают участие в работе аттестационной комиссии по проведению аттестации рабочих мест по условиям труда,  в заседаниях комиссии по распределению стимулирующих выплат. Проводятся заседания профсоюзного комитета по вопросам выплаты материальной помощи членам профсоюза, проходит регистрация документов (заявлений о вступлении, о выплате материальной помощи и т.д.).</w:t>
      </w:r>
    </w:p>
    <w:p>
      <w:pPr>
        <w:pStyle w:val="P10"/>
        <w:shd w:val="clear" w:fill="auto"/>
        <w:spacing w:lineRule="auto" w:line="276" w:before="0" w:after="0" w:beforeAutospacing="0" w:afterAutospacing="0"/>
        <w:ind w:firstLine="720" w:right="320"/>
      </w:pPr>
      <w:r>
        <w:rPr>
          <w:color w:val="000000"/>
        </w:rPr>
        <w:t>При проведении аттестации педагогических работников, с целью подтверждения соответствия занимаемой должности, в состав аттестационной комиссии входит представитель выборного органа первичной профсоюзной организации.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Председатель территориальной организации 1 раз в квартал принимала участие в заседании трехсторонней комиссии администрации Кочевского муниципального округа, выступала с докладом по развитию системы социального партнёрства в сфере образования, о работе Совета молодых педагогов. </w:t>
      </w:r>
      <w:r>
        <w:rPr>
          <w:rFonts w:ascii="Times New Roman" w:hAnsi="Times New Roman"/>
          <w:sz w:val="28"/>
        </w:rPr>
        <w:t>Ежемесячно - участие в работе муниципальной аттестационной комиссии педагогов на первую квалификационную категорию. Принимала участие в оргкомитете по организации и проведению профессионального конкурса «Учитель года - 2022», спортивного праздника среди молодых педагогов Кочёвского МО.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Педагоги, члены профсоюза, принявшие участие в конкурсах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получ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z w:val="28"/>
        </w:rPr>
        <w:t xml:space="preserve"> благодарности, денежное вознаграждение и подарки от территориальной организации Профсоюза. 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2022</w:t>
      </w:r>
      <w:r>
        <w:rPr>
          <w:rFonts w:ascii="Times New Roman" w:hAnsi="Times New Roman"/>
          <w:sz w:val="28"/>
        </w:rPr>
        <w:t xml:space="preserve"> году закрытие муниципального этапа конкурса «Учитель года - 2022» проходил дистанционно, но благодарности и подарки от территориальной организации также были вручены членам профсоюза. </w:t>
      </w:r>
    </w:p>
    <w:p>
      <w:pPr>
        <w:jc w:val="center"/>
      </w:pPr>
    </w:p>
    <w:p>
      <w:pPr>
        <w:jc w:val="center"/>
        <w:rPr>
          <w:rFonts w:ascii="Times New Roman" w:hAnsi="Times New Roman"/>
          <w:b w:val="1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4. Работа с молодыми педагогами.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Приоритетным направлением в 2022 году была работа с молодыми педагогами. Проводились мероприятия, круглые столы, спортивные мероприятия, где принимали участие не только члены профсоюза, но и все молодые педагоги образовательных организаций. Территориальная организация Профсоюза совместно </w:t>
      </w:r>
      <w:r>
        <w:rPr>
          <w:rFonts w:ascii="Times New Roman" w:hAnsi="Times New Roman"/>
          <w:color w:val="000000"/>
          <w:sz w:val="28"/>
          <w:shd w:val="clear" w:fill="FFFFFF"/>
        </w:rPr>
        <w:t>Советом молодых педагогов проводила активную работу в продвижении молодых педагогов и по популяризации молодежной политики в сфере образования.</w:t>
      </w:r>
      <w:r>
        <w:rPr>
          <w:rFonts w:ascii="Times New Roman" w:hAnsi="Times New Roman"/>
          <w:sz w:val="28"/>
        </w:rPr>
        <w:t xml:space="preserve"> Члены Совета молодых педагогов являются членами молодёжного парламента, принимают участие  в мероприятиях Кочевского муниципального округа.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  <w:shd w:val="clear" w:fill="FFFFFF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 xml:space="preserve">В июне  состоялся IV спортивный турнир среди молодых педагогов «Том велöтіссез» Кочевского МО. </w:t>
      </w:r>
      <w:r>
        <w:rPr>
          <w:rFonts w:ascii="Times New Roman" w:hAnsi="Times New Roman"/>
          <w:sz w:val="28"/>
        </w:rPr>
        <w:t xml:space="preserve">В этом году спортивный турнир был посвящён Году культурного наследия народов России и </w:t>
      </w:r>
      <w:r>
        <w:rPr>
          <w:rFonts w:ascii="Times New Roman" w:hAnsi="Times New Roman"/>
          <w:color w:val="000000"/>
          <w:sz w:val="28"/>
          <w:shd w:val="clear" w:fill="FFFFFF"/>
        </w:rPr>
        <w:t xml:space="preserve">Дню молодёжи. 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Цель: </w:t>
      </w:r>
      <w:r>
        <w:rPr>
          <w:rFonts w:ascii="Times New Roman" w:hAnsi="Times New Roman"/>
          <w:color w:val="000000"/>
          <w:sz w:val="28"/>
        </w:rPr>
        <w:t xml:space="preserve">привлечение молодых педагогов к </w:t>
      </w:r>
      <w:r>
        <w:rPr>
          <w:rFonts w:ascii="Times New Roman" w:hAnsi="Times New Roman"/>
          <w:sz w:val="28"/>
        </w:rPr>
        <w:t>активному, здоровому образу жизни,</w:t>
      </w:r>
      <w:r>
        <w:rPr>
          <w:rFonts w:ascii="Times New Roman" w:hAnsi="Times New Roman"/>
          <w:color w:val="000000"/>
          <w:sz w:val="28"/>
        </w:rPr>
        <w:t xml:space="preserve"> регулярным занятиям физической культурой и спортом, </w:t>
      </w:r>
      <w:r>
        <w:rPr>
          <w:rFonts w:ascii="Times New Roman" w:hAnsi="Times New Roman"/>
          <w:sz w:val="28"/>
        </w:rPr>
        <w:t xml:space="preserve">сохранение национальных культурных традиций, самобытности коми-пермяков. </w:t>
      </w:r>
    </w:p>
    <w:p>
      <w:pPr>
        <w:tabs>
          <w:tab w:val="left" w:pos="993" w:leader="none"/>
        </w:tabs>
        <w:spacing w:lineRule="auto" w:line="276" w:beforeAutospacing="0" w:afterAutospacing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 xml:space="preserve">В программе праздника: игры на сплочение, эстафета </w:t>
      </w:r>
      <w:r>
        <w:rPr>
          <w:rFonts w:ascii="Times New Roman" w:hAnsi="Times New Roman"/>
          <w:sz w:val="28"/>
        </w:rPr>
        <w:t>«Чожа! Бура! Гажа!» ("Быстро! Хорошо! Весело!"</w:t>
      </w:r>
      <w:r>
        <w:rPr>
          <w:rFonts w:ascii="Times New Roman" w:hAnsi="Times New Roman"/>
          <w:color w:val="000000"/>
          <w:sz w:val="28"/>
          <w:shd w:val="clear" w:fill="FFFFFF"/>
        </w:rPr>
        <w:t>, коми-пермяцкая игра "Шупыт том</w:t>
      </w:r>
      <w:r>
        <w:rPr>
          <w:rFonts w:ascii="Times New Roman" w:hAnsi="Times New Roman"/>
          <w:sz w:val="28"/>
        </w:rPr>
        <w:t xml:space="preserve">пöлöс" ("Озорная молодёжь"), </w:t>
      </w:r>
      <w:r>
        <w:rPr>
          <w:rFonts w:ascii="Times New Roman" w:hAnsi="Times New Roman"/>
          <w:color w:val="000000"/>
          <w:sz w:val="28"/>
          <w:shd w:val="clear" w:fill="FFFFFF"/>
        </w:rPr>
        <w:t xml:space="preserve">интеллектуальная викторина </w:t>
      </w:r>
      <w:r>
        <w:rPr>
          <w:rFonts w:ascii="Times New Roman" w:hAnsi="Times New Roman"/>
          <w:sz w:val="28"/>
        </w:rPr>
        <w:t>«Мый? Кытöн? Кöр?» ("Что? Где? Когда?")</w:t>
      </w:r>
      <w:r>
        <w:rPr>
          <w:rFonts w:ascii="Times New Roman" w:hAnsi="Times New Roman"/>
          <w:color w:val="000000"/>
          <w:sz w:val="28"/>
          <w:shd w:val="clear" w:fill="FFFFFF"/>
        </w:rPr>
        <w:t xml:space="preserve">, </w:t>
      </w:r>
      <w:r>
        <w:rPr>
          <w:rFonts w:ascii="Times New Roman" w:hAnsi="Times New Roman"/>
          <w:sz w:val="28"/>
        </w:rPr>
        <w:t xml:space="preserve">которая была посвящена Кочёвскому району. </w:t>
      </w:r>
      <w:r>
        <w:rPr>
          <w:rFonts w:ascii="Times New Roman" w:hAnsi="Times New Roman"/>
          <w:color w:val="000000"/>
          <w:sz w:val="28"/>
          <w:shd w:val="clear" w:fill="FFFFFF"/>
        </w:rPr>
        <w:t>Для</w:t>
      </w:r>
      <w:r>
        <w:rPr>
          <w:rFonts w:ascii="Times New Roman" w:hAnsi="Times New Roman"/>
          <w:sz w:val="28"/>
        </w:rPr>
        <w:t xml:space="preserve"> спортивных состязаний были использованы атрибуты быта коми-пермяков: лапти, кушаки, половики, веретена, пестери, платки. Участники украшали «троицкую берёзку», собирали «пистики», плели кушаки и украшали их орнаментом.</w:t>
      </w:r>
    </w:p>
    <w:p>
      <w:pPr>
        <w:ind w:hanging="851"/>
        <w:jc w:val="both"/>
      </w:pPr>
      <w:r>
        <w:drawing>
          <wp:inline xmlns:wp="http://schemas.openxmlformats.org/drawingml/2006/wordprocessingDrawing">
            <wp:extent cx="3257550" cy="18288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8288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133725" cy="175958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5958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hanging="851"/>
        <w:jc w:val="both"/>
      </w:pPr>
      <w:r>
        <w:drawing>
          <wp:inline xmlns:wp="http://schemas.openxmlformats.org/drawingml/2006/wordprocessingDrawing">
            <wp:extent cx="2197100" cy="164782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6478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876935" cy="15621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1562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619375" cy="184531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8453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ind w:hanging="851"/>
        <w:jc w:val="both"/>
        <w:rPr>
          <w:rFonts w:ascii="Arial" w:hAnsi="Arial"/>
          <w:color w:val="000000"/>
          <w:sz w:val="20"/>
          <w:shd w:val="clear" w:fill="FFFFFF"/>
        </w:rPr>
      </w:pPr>
    </w:p>
    <w:p>
      <w:pPr>
        <w:jc w:val="both"/>
        <w:rPr>
          <w:rFonts w:ascii="Times New Roman" w:hAnsi="Times New Roman"/>
          <w:color w:val="000000"/>
          <w:sz w:val="28"/>
          <w:shd w:val="clear" w:fill="FFFFFF"/>
        </w:rPr>
      </w:pPr>
      <w:r>
        <w:rPr>
          <w:rFonts w:ascii="Times New Roman" w:hAnsi="Times New Roman"/>
          <w:color w:val="000000"/>
          <w:shd w:val="clear" w:fill="FFFFFF"/>
        </w:rPr>
        <w:tab/>
      </w:r>
      <w:r>
        <w:rPr>
          <w:rFonts w:ascii="Times New Roman" w:hAnsi="Times New Roman"/>
          <w:color w:val="000000"/>
          <w:sz w:val="28"/>
          <w:shd w:val="clear" w:fill="FFFFFF"/>
        </w:rPr>
        <w:t>Члены Профсоюза, участники спортивного турнира, от территориальной организации Профсоюза образования получили в подарок кружки с логотипом «2022 год культурного наследия народов России».</w:t>
      </w:r>
    </w:p>
    <w:p>
      <w:pPr>
        <w:jc w:val="both"/>
        <w:rPr>
          <w:rFonts w:ascii="Times New Roman" w:hAnsi="Times New Roman"/>
          <w:color w:val="000000"/>
          <w:shd w:val="clear" w:fill="FFFFFF"/>
        </w:rPr>
      </w:pPr>
      <w:r>
        <w:rPr>
          <w:rFonts w:ascii="Times New Roman" w:hAnsi="Times New Roman"/>
          <w:noProof w:val="1"/>
          <w:color w:val="000000"/>
          <w:shd w:val="clear" w:fill="FFFFFF"/>
        </w:rPr>
        <w:drawing>
          <wp:inline xmlns:wp="http://schemas.openxmlformats.org/drawingml/2006/wordprocessingDrawing">
            <wp:extent cx="5940425" cy="333565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6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spacing w:lineRule="auto" w:line="276" w:beforeAutospacing="0" w:afterAutospacing="0"/>
        <w:ind w:firstLine="708"/>
        <w:rPr>
          <w:rFonts w:ascii="Times New Roman" w:hAnsi="Times New Roman"/>
          <w:color w:val="000000"/>
          <w:sz w:val="28"/>
          <w:shd w:val="clear" w:fill="FFFF00"/>
        </w:rPr>
      </w:pP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ook w:val="04A0"/>
      </w:tblPr>
      <w:tblGrid/>
      <w:tr>
        <w:trPr>
          <w:trHeight w:hRule="atLeast" w:val="6359"/>
        </w:trPr>
        <w:tc>
          <w:tcPr>
            <w:tcW w:w="4567" w:type="dxa"/>
          </w:tcPr>
          <w:p>
            <w:pPr>
              <w:spacing w:lineRule="auto" w:line="276" w:beforeAutospacing="0" w:afterAutospacing="0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Команда Совета молодых педагогов Кочевского МО "Супер Пчелки" приняли участие в III Сельских играх, посвященных празднованию Днясела.</w:t>
            </w:r>
            <w:r>
              <w:drawing>
                <wp:inline xmlns:wp="http://schemas.openxmlformats.org/drawingml/2006/wordprocessingDrawing">
                  <wp:extent cx="2880360" cy="2405380"/>
                  <wp:docPr id="10" name="Picture 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xmlns:r="http://schemas.openxmlformats.org/officeDocument/2006/relationships" r:embed="Relimage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40538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76" w:beforeAutospacing="0" w:afterAutospacing="0"/>
              <w:jc w:val="both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</w:p>
        </w:tc>
        <w:tc>
          <w:tcPr>
            <w:tcW w:w="5004" w:type="dxa"/>
          </w:tcPr>
          <w:p>
            <w:pPr>
              <w:tabs>
                <w:tab w:val="left" w:pos="2595" w:leader="none"/>
              </w:tabs>
              <w:spacing w:lineRule="auto" w:line="276" w:beforeAutospacing="0" w:afterAutospacing="0"/>
              <w:jc w:val="both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Команда "Чудики" молодых педагогов Кочёвской школы участвовали в интеллектуально-развлекательной викторине, посвященной году народного искусства и нематериального наследия народов России.</w:t>
            </w:r>
          </w:p>
          <w:p>
            <w:pPr>
              <w:tabs>
                <w:tab w:val="left" w:pos="2595" w:leader="none"/>
              </w:tabs>
              <w:spacing w:lineRule="auto" w:line="276" w:beforeAutospacing="0" w:afterAutospacing="0"/>
              <w:jc w:val="both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 xml:space="preserve">                Итог I место</w:t>
            </w:r>
          </w:p>
          <w:p>
            <w:pPr>
              <w:tabs>
                <w:tab w:val="left" w:pos="2595" w:leader="none"/>
              </w:tabs>
              <w:jc w:val="center"/>
              <w:rPr>
                <w:rFonts w:ascii="Terminal" w:hAnsi="Terminal"/>
                <w:color w:val="000000"/>
              </w:rPr>
            </w:pPr>
            <w:r>
              <w:drawing>
                <wp:inline xmlns:wp="http://schemas.openxmlformats.org/drawingml/2006/wordprocessingDrawing">
                  <wp:extent cx="3169920" cy="2377440"/>
                  <wp:docPr id="11" name="Picture 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xmlns:r="http://schemas.openxmlformats.org/officeDocument/2006/relationships" r:embed="Relimage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920" cy="23774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both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</w:p>
        </w:tc>
      </w:tr>
    </w:tbl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  <w:shd w:val="clear" w:fill="FFFFFF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Команда молодых педагогов принимали участие в осенней интеллектуальной игре «Что? Где? Когда? В рамках серии интеллектуальных игр 2022 года, организованной МБУК «Культурно-Деловой Центр» г. Кудымкара. Заняли I место.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  <w:shd w:val="clear" w:fill="FFFFFF"/>
        </w:rPr>
      </w:pP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drawing>
          <wp:inline xmlns:wp="http://schemas.openxmlformats.org/drawingml/2006/wordprocessingDrawing">
            <wp:extent cx="2628900" cy="197167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16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</w:t>
      </w:r>
      <w:r>
        <w:drawing>
          <wp:inline xmlns:wp="http://schemas.openxmlformats.org/drawingml/2006/wordprocessingDrawing">
            <wp:extent cx="2571750" cy="192913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92913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Педагоги принимали участие  в мероприятиях, проводимых краевой организацией Профсоюза при финансовой поддержке Министерства образования и науки Пермского края и методического сопровождения Института развития образования.</w:t>
      </w:r>
    </w:p>
    <w:p>
      <w:pPr>
        <w:pStyle w:val="P16"/>
        <w:spacing w:before="1" w:beforeAutospacing="0" w:afterAutospacing="0"/>
        <w:ind w:left="0" w:right="676"/>
        <w:jc w:val="both"/>
      </w:pPr>
      <w:r>
        <w:tab/>
        <w:tab/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ook w:val="04A0"/>
      </w:tblPr>
      <w:tblGrid/>
      <w:tr>
        <w:tc>
          <w:tcPr>
            <w:tcW w:w="4785" w:type="dxa"/>
          </w:tcPr>
          <w:p>
            <w:pPr>
              <w:spacing w:lineRule="auto" w:line="276" w:beforeAutospacing="0" w:afterAutospacing="0"/>
              <w:jc w:val="both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  <w:shd w:val="clear" w:fill="FFFFFF"/>
              </w:rPr>
              <w:t>X</w:t>
            </w: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 xml:space="preserve"> форум молодых педагогов Пермского края «От личностной компетентности к результативной деятельности"</w:t>
            </w:r>
          </w:p>
          <w:p>
            <w:pPr>
              <w:jc w:val="right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drawing>
                <wp:inline xmlns:wp="http://schemas.openxmlformats.org/drawingml/2006/wordprocessingDrawing">
                  <wp:extent cx="1704975" cy="2562225"/>
                  <wp:docPr id="14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xmlns:r="http://schemas.openxmlformats.org/officeDocument/2006/relationships" r:embed="Relimage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256222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>
            <w:pPr>
              <w:jc w:val="both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  <w:r>
              <w:drawing>
                <wp:inline xmlns:wp="http://schemas.openxmlformats.org/drawingml/2006/wordprocessingDrawing">
                  <wp:extent cx="2314575" cy="2983230"/>
                  <wp:docPr id="15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xmlns:r="http://schemas.openxmlformats.org/officeDocument/2006/relationships" r:embed="Relimage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298323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tabs>
          <w:tab w:val="left" w:pos="2595" w:leader="none"/>
        </w:tabs>
        <w:rPr>
          <w:rFonts w:ascii="Times New Roman" w:hAnsi="Times New Roman"/>
          <w:color w:val="000000"/>
          <w:sz w:val="28"/>
          <w:shd w:val="clear" w:fill="FFFFFF"/>
        </w:rPr>
      </w:pPr>
    </w:p>
    <w:tbl>
      <w:tblPr>
        <w:tblStyle w:val="T2"/>
        <w:tblW w:w="0" w:type="auto"/>
        <w:tblBorders>
          <w:top w:val="none" w:sz="0" w:space="0" w:shadow="0" w:frame="0" w:color="000000"/>
          <w:left w:val="none" w:sz="0" w:space="0" w:shadow="0" w:frame="0" w:color="000000"/>
          <w:bottom w:val="none" w:sz="0" w:space="0" w:shadow="0" w:frame="0" w:color="000000"/>
          <w:right w:val="none" w:sz="0" w:space="0" w:shadow="0" w:frame="0" w:color="000000"/>
          <w:insideH w:val="none" w:sz="0" w:space="0" w:shadow="0" w:frame="0" w:color="000000"/>
          <w:insideV w:val="none" w:sz="0" w:space="0" w:shadow="0" w:frame="0" w:color="000000"/>
        </w:tblBorders>
        <w:tblLook w:val="04A0"/>
      </w:tblPr>
      <w:tblGrid/>
      <w:t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pos="2595" w:leader="none"/>
              </w:tabs>
              <w:spacing w:lineRule="auto" w:line="276" w:beforeAutospacing="0" w:afterAutospacing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Члены Совета молодых педагогов</w:t>
            </w:r>
          </w:p>
          <w:p>
            <w:pPr>
              <w:tabs>
                <w:tab w:val="left" w:pos="2595" w:leader="none"/>
              </w:tabs>
              <w:spacing w:lineRule="auto" w:line="276"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 xml:space="preserve"> приняли участие </w:t>
            </w:r>
            <w:r>
              <w:rPr>
                <w:rFonts w:ascii="Times New Roman" w:hAnsi="Times New Roman"/>
                <w:b w:val="1"/>
                <w:color w:val="000000"/>
                <w:sz w:val="28"/>
                <w:shd w:val="clear" w:fill="FFFFFF"/>
              </w:rPr>
              <w:t xml:space="preserve"> на IV Форуме </w:t>
            </w: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молодых педагогов Нытвенского городского округа "Точка опоры"</w:t>
            </w:r>
          </w:p>
          <w:p>
            <w:pPr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drawing>
                <wp:inline xmlns:wp="http://schemas.openxmlformats.org/drawingml/2006/wordprocessingDrawing">
                  <wp:extent cx="1704975" cy="2266950"/>
                  <wp:docPr id="16" name="Picture 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xmlns:r="http://schemas.openxmlformats.org/officeDocument/2006/relationships" r:embed="Relimage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226695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Arial" w:hAnsi="Arial"/>
          <w:color w:val="000000"/>
          <w:sz w:val="20"/>
          <w:shd w:val="clear" w:fill="FFFFFF"/>
        </w:rPr>
      </w:pPr>
    </w:p>
    <w:tbl>
      <w:tblPr>
        <w:tblStyle w:val="T2"/>
        <w:tblW w:w="0" w:type="auto"/>
        <w:tblBorders>
          <w:top w:val="none" w:sz="0" w:space="0" w:shadow="0" w:frame="0" w:color="000000"/>
          <w:left w:val="none" w:sz="0" w:space="0" w:shadow="0" w:frame="0" w:color="000000"/>
          <w:bottom w:val="none" w:sz="0" w:space="0" w:shadow="0" w:frame="0" w:color="000000"/>
          <w:right w:val="none" w:sz="0" w:space="0" w:shadow="0" w:frame="0" w:color="000000"/>
          <w:insideH w:val="none" w:sz="0" w:space="0" w:shadow="0" w:frame="0" w:color="000000"/>
          <w:insideV w:val="none" w:sz="0" w:space="0" w:shadow="0" w:frame="0" w:color="000000"/>
        </w:tblBorders>
        <w:tblLook w:val="04A0"/>
      </w:tblPr>
      <w:tblGrid/>
      <w:t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76" w:beforeAutospacing="0" w:afterAutospacing="0"/>
              <w:rPr>
                <w:rFonts w:ascii="Times New Roman" w:hAnsi="Times New Roman"/>
                <w:color w:val="000000"/>
                <w:sz w:val="28"/>
                <w:shd w:val="clear" w:fill="FFFFFF"/>
              </w:rPr>
            </w:pPr>
          </w:p>
          <w:p>
            <w:pPr>
              <w:spacing w:lineRule="auto" w:line="276" w:beforeAutospacing="0" w:afterAutospacing="0"/>
              <w:rPr>
                <w:rFonts w:ascii="Times New Roman" w:hAnsi="Times New Roman"/>
                <w:b w:val="1"/>
                <w:color w:val="000000"/>
                <w:sz w:val="28"/>
                <w:shd w:val="clear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В мае приняли участие на открытых мастер-классах молодых</w:t>
              <w:br w:type="textWrapping"/>
              <w:t xml:space="preserve">педагогов </w:t>
            </w:r>
            <w:r>
              <w:rPr>
                <w:rFonts w:ascii="Times New Roman" w:hAnsi="Times New Roman"/>
                <w:b w:val="1"/>
                <w:color w:val="000000"/>
                <w:sz w:val="28"/>
                <w:shd w:val="clear" w:fill="FFFFFF"/>
              </w:rPr>
              <w:t>«У нас все получится»</w:t>
            </w:r>
          </w:p>
          <w:p>
            <w:pPr>
              <w:spacing w:lineRule="auto" w:line="276" w:beforeAutospacing="0" w:afterAutospac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 xml:space="preserve"> на платформе ZOOM. </w:t>
            </w:r>
          </w:p>
          <w:p>
            <w:pPr>
              <w:spacing w:lineRule="auto" w:line="276" w:beforeAutospacing="0" w:afterAutospacing="0"/>
              <w:rPr>
                <w:rFonts w:ascii="Times New Roman" w:hAnsi="Times New Roman"/>
                <w:sz w:val="28"/>
              </w:rPr>
            </w:pPr>
          </w:p>
          <w:p>
            <w:pPr>
              <w:spacing w:lineRule="auto" w:line="276" w:beforeAutospacing="0" w:afterAutospacing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drawing>
                <wp:inline xmlns:wp="http://schemas.openxmlformats.org/drawingml/2006/wordprocessingDrawing">
                  <wp:extent cx="2324100" cy="1657350"/>
                  <wp:docPr id="17" name="Picture 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xmlns:r="http://schemas.openxmlformats.org/officeDocument/2006/relationships" r:embed="Relimage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65735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tabs>
          <w:tab w:val="left" w:pos="2595" w:leader="none"/>
        </w:tabs>
        <w:spacing w:lineRule="auto" w:line="276" w:beforeAutospacing="0" w:afterAutospacing="0"/>
        <w:ind w:firstLine="555"/>
        <w:jc w:val="both"/>
        <w:rPr>
          <w:rFonts w:ascii="Times New Roman" w:hAnsi="Times New Roman"/>
          <w:color w:val="000000"/>
          <w:sz w:val="28"/>
          <w:shd w:val="clear" w:fill="FFFFFF"/>
        </w:rPr>
      </w:pPr>
    </w:p>
    <w:p>
      <w:pPr>
        <w:tabs>
          <w:tab w:val="left" w:pos="2595" w:leader="none"/>
        </w:tabs>
        <w:spacing w:lineRule="auto" w:line="276" w:beforeAutospacing="0" w:afterAutospacing="0"/>
        <w:ind w:firstLine="555"/>
        <w:jc w:val="both"/>
        <w:rPr>
          <w:rFonts w:ascii="Times New Roman" w:hAnsi="Times New Roman"/>
          <w:color w:val="000000"/>
          <w:sz w:val="28"/>
          <w:shd w:val="clear" w:fill="FFFFFF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Межмуниципальная диалог - встреча педагогических команд «Наставничество – ресурс профессионального развития педагогов".</w:t>
      </w:r>
    </w:p>
    <w:p>
      <w:pPr>
        <w:tabs>
          <w:tab w:val="left" w:pos="2595" w:leader="none"/>
        </w:tabs>
        <w:spacing w:lineRule="auto" w:line="276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1</w:t>
      </w:r>
      <w:r>
        <w:rPr>
          <w:rFonts w:ascii="Times New Roman" w:hAnsi="Times New Roman"/>
          <w:color w:val="000000"/>
          <w:sz w:val="28"/>
          <w:shd w:val="clear" w:fill="FFFFFF"/>
        </w:rPr>
        <w:t xml:space="preserve">5 сентября 2022 года педагогические команды образовательных организаций Коми-Пермяцкого округа встретились в с. Кочево, обсудили вопросы наставничества. </w:t>
      </w:r>
    </w:p>
    <w:p>
      <w:pPr>
        <w:tabs>
          <w:tab w:val="left" w:pos="2595" w:leader="none"/>
        </w:tabs>
        <w:rPr>
          <w:rFonts w:ascii="Times New Roman" w:hAnsi="Times New Roman"/>
          <w:b w:val="1"/>
          <w:color w:val="000000"/>
          <w:sz w:val="28"/>
          <w:shd w:val="clear" w:fill="FFFFFF"/>
        </w:rPr>
      </w:pPr>
      <w:r>
        <w:drawing>
          <wp:inline xmlns:wp="http://schemas.openxmlformats.org/drawingml/2006/wordprocessingDrawing">
            <wp:extent cx="6217920" cy="202057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0205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jc w:val="right"/>
        <w:rPr>
          <w:rFonts w:ascii="Times New Roman" w:hAnsi="Times New Roman"/>
          <w:b w:val="1"/>
          <w:color w:val="000000"/>
          <w:sz w:val="28"/>
          <w:shd w:val="clear" w:fill="FFFFFF"/>
        </w:rPr>
      </w:pPr>
    </w:p>
    <w:p>
      <w:pPr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Чемпионат муниципальных команд наставничества педагогических работников </w:t>
      </w:r>
    </w:p>
    <w:tbl>
      <w:tblPr>
        <w:tblStyle w:val="T2"/>
        <w:tblW w:w="0" w:type="auto"/>
        <w:tblBorders>
          <w:top w:val="none" w:sz="0" w:space="0" w:shadow="0" w:frame="0" w:color="000000"/>
          <w:left w:val="none" w:sz="0" w:space="0" w:shadow="0" w:frame="0" w:color="000000"/>
          <w:bottom w:val="none" w:sz="0" w:space="0" w:shadow="0" w:frame="0" w:color="000000"/>
          <w:right w:val="none" w:sz="0" w:space="0" w:shadow="0" w:frame="0" w:color="000000"/>
          <w:insideH w:val="none" w:sz="0" w:space="0" w:shadow="0" w:frame="0" w:color="000000"/>
          <w:insideV w:val="none" w:sz="0" w:space="0" w:shadow="0" w:frame="0" w:color="000000"/>
        </w:tblBorders>
        <w:tblLook w:val="04A0"/>
      </w:tblPr>
      <w:tblGrid/>
      <w:t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76" w:beforeAutospacing="0" w:afterAutospac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fill="FFFFFF"/>
              </w:rPr>
              <w:t>Перед опытными педагогами стоит задача сформировать условия, при которых у молодых педагогов выстраивается четкое понимание своей профессии и желание добиваться высоких результатов.</w:t>
            </w:r>
          </w:p>
          <w:p>
            <w:pPr>
              <w:tabs>
                <w:tab w:val="left" w:pos="2595" w:leader="none"/>
              </w:tabs>
              <w:jc w:val="both"/>
              <w:rPr>
                <w:rFonts w:ascii="Times New Roman" w:hAnsi="Times New Roman"/>
                <w:sz w:val="28"/>
              </w:rPr>
            </w:pPr>
          </w:p>
          <w:p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drawing>
                <wp:inline xmlns:wp="http://schemas.openxmlformats.org/drawingml/2006/wordprocessingDrawing">
                  <wp:extent cx="3086100" cy="2076450"/>
                  <wp:docPr id="19" name="Picture 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xmlns:r="http://schemas.openxmlformats.org/officeDocument/2006/relationships" r:embed="Relimage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207645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both"/>
        <w:rPr>
          <w:rFonts w:ascii="Times New Roman" w:hAnsi="Times New Roman"/>
        </w:rPr>
      </w:pPr>
    </w:p>
    <w:p>
      <w:pPr>
        <w:pStyle w:val="P10"/>
        <w:shd w:val="clear" w:fill="auto"/>
        <w:spacing w:lineRule="auto" w:line="276" w:before="0" w:after="0" w:beforeAutospacing="0" w:afterAutospacing="0"/>
        <w:ind w:firstLine="720" w:right="320"/>
        <w:jc w:val="center"/>
        <w:rPr>
          <w:b w:val="1"/>
        </w:rPr>
      </w:pPr>
      <w:r>
        <w:rPr>
          <w:b w:val="1"/>
        </w:rPr>
        <w:t>5. Информационная работа.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Информационная деятельность, это одно из важнейших составляющих корпоративной культуры. </w:t>
      </w:r>
      <w:r>
        <w:rPr>
          <w:rFonts w:ascii="Times New Roman" w:hAnsi="Times New Roman"/>
          <w:color w:val="000000"/>
          <w:sz w:val="28"/>
        </w:rPr>
        <w:t xml:space="preserve">С целью совершенствования организационно-уставной деятельности и информационной работы территориальная организация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рассылку информационных листовок, методических рекомендаций по основным направлениям профсоюзной деятельности в помощь профактиву. </w:t>
      </w:r>
    </w:p>
    <w:p>
      <w:pPr>
        <w:pStyle w:val="P10"/>
        <w:shd w:val="clear" w:fill="auto"/>
        <w:spacing w:lineRule="auto" w:line="276" w:before="0" w:after="0" w:beforeAutospacing="0" w:afterAutospacing="0"/>
        <w:ind w:firstLine="720" w:right="320"/>
      </w:pPr>
      <w:r>
        <w:t>В 2022 году большую активность получила работа через соцсети.</w:t>
      </w:r>
    </w:p>
    <w:p>
      <w:pPr>
        <w:spacing w:lineRule="auto" w:line="276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 Контакте активно работает группа «Совет молодых педагогов Кочевского района», создана группа ВК «Профсоюз образования Кочевского МО», </w:t>
      </w:r>
      <w:r>
        <w:rPr>
          <w:rFonts w:ascii="Times New Roman" w:hAnsi="Times New Roman"/>
          <w:color w:val="000000"/>
          <w:sz w:val="28"/>
        </w:rPr>
        <w:t>продолжается работа над увеличением подписчиков.</w:t>
      </w:r>
    </w:p>
    <w:p>
      <w:pPr>
        <w:pStyle w:val="P10"/>
        <w:shd w:val="clear" w:fill="auto"/>
        <w:spacing w:lineRule="auto" w:line="276" w:before="0" w:after="0" w:beforeAutospacing="0" w:afterAutospacing="0"/>
        <w:ind w:firstLine="708" w:right="320"/>
      </w:pPr>
      <w:r>
        <w:t>Также используются традиционные способы информирования (собрания, личные встречи, индивидуальные консультации с членами профсоюза, президиумы, семинары – совещания). Проводится работа по освещению деятельности Профсоюза через наглядную агитацию (стенды), по сохранению профсоюзного членства и вовлечению в Профсоюз новых членов. Через информационные стенды педагоги и работники ОО знакомятся с деятельностью профсоюзной организации. Работает электронная рассылка.</w:t>
      </w:r>
    </w:p>
    <w:p>
      <w:pPr>
        <w:pStyle w:val="P10"/>
        <w:shd w:val="clear" w:fill="auto"/>
        <w:spacing w:lineRule="auto" w:line="276" w:before="0" w:after="0" w:beforeAutospacing="0" w:afterAutospacing="0"/>
        <w:ind w:firstLine="720" w:right="320"/>
      </w:pPr>
      <w:r>
        <w:t>У краевой организации Профсоюза оперативно отправляются в ППО информационные сборники – отчеты о каждом дне работы, а также информационные листки.</w:t>
      </w:r>
    </w:p>
    <w:p>
      <w:pPr>
        <w:spacing w:lineRule="auto" w:line="276" w:beforeAutospacing="0" w:afterAutospacing="0"/>
        <w:jc w:val="both"/>
        <w:rPr>
          <w:sz w:val="28"/>
        </w:rPr>
      </w:pPr>
      <w:r>
        <w:rPr>
          <w:sz w:val="28"/>
        </w:rPr>
        <w:tab/>
      </w:r>
      <w:r>
        <w:rPr>
          <w:rFonts w:ascii="Times New Roman" w:hAnsi="Times New Roman"/>
          <w:sz w:val="28"/>
        </w:rPr>
        <w:t>Ежегодно для всех первичных профсоюзных организаций выписывается газета «Профсоюзный курьер».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Территориальная организация сотрудничает с районной газетой «Кочевская жизнь», где освещает важные события и мероприятия, проводимые ТО профсоюза. 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Все члены Профсоюза имеют электронный профсоюзный билет, который предоставляет доступ к Федеральной бонусной программе PROFCARDS. </w:t>
      </w:r>
    </w:p>
    <w:p>
      <w:pPr>
        <w:pStyle w:val="P7"/>
        <w:spacing w:lineRule="auto" w:line="276" w:before="9" w:beforeAutospacing="0" w:afterAutospacing="0"/>
        <w:ind w:firstLine="708" w:left="19" w:right="34"/>
        <w:jc w:val="both"/>
        <w:rPr>
          <w:sz w:val="28"/>
        </w:rPr>
      </w:pPr>
      <w:r>
        <w:rPr>
          <w:sz w:val="28"/>
        </w:rPr>
        <w:t>Заказаны и получены дисконтные карты для членов профсоюза, что помогает сэкономить денежные средства членам профсоюза, получать скидки.</w:t>
      </w:r>
    </w:p>
    <w:p>
      <w:pPr>
        <w:pStyle w:val="P4"/>
        <w:spacing w:lineRule="auto" w:line="276" w:beforeAutospacing="0" w:afterAutospacing="0"/>
        <w:jc w:val="center"/>
        <w:rPr>
          <w:rFonts w:ascii="Times New Roman" w:hAnsi="Times New Roman"/>
          <w:sz w:val="28"/>
        </w:rPr>
      </w:pPr>
      <w:r>
        <w:rPr>
          <w:rStyle w:val="C4"/>
          <w:rFonts w:ascii="Times New Roman" w:hAnsi="Times New Roman"/>
          <w:color w:val="333333"/>
          <w:sz w:val="28"/>
        </w:rPr>
        <w:t>6. Охрана труда.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уровне образовательных организаций проводится работа по охране труда, направления изложены в коллективных договорах и в Соглашении по охране труда. В каждой образовательной организации созданы  совместные комиссии по охране труда, куда входят представители от первичной профсоюзной организации и от работодателя. </w:t>
      </w:r>
      <w:r>
        <w:rPr>
          <w:rFonts w:ascii="Times New Roman" w:hAnsi="Times New Roman"/>
          <w:color w:val="000000"/>
          <w:sz w:val="28"/>
        </w:rPr>
        <w:t xml:space="preserve">Избранные от профсоюзного комитета уполномоченные по охране труда осуществляют постоянный контроль за соблюдением работодателем и работниками принятых локальных нормативных актов по данному вопросу. </w:t>
      </w:r>
      <w:r>
        <w:rPr>
          <w:rFonts w:ascii="Times New Roman" w:hAnsi="Times New Roman"/>
          <w:sz w:val="28"/>
        </w:rPr>
        <w:t>Во всех организациях проведена специальная оценка условий труда, аттестация рабочих мест.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образовательных организациях имеются и систематически обновляются уголки по охране труда, по терроризму, пожарной безопасности, дорожному движению. Уголки по охране труда имеются в кабинетах повышенной опасности, где также есть вся документация по охране труда: инструкции, огнетушители, план эвакуации. 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организациях приказом назначены ответственные за состояние охраны труда и техники безопасности. </w:t>
      </w:r>
    </w:p>
    <w:p>
      <w:pPr>
        <w:spacing w:lineRule="auto" w:line="276" w:beforeAutospacing="0" w:afterAutospacing="0"/>
        <w:jc w:val="both"/>
        <w:rPr>
          <w:rFonts w:ascii="Times New Roman" w:hAnsi="Times New Roman"/>
          <w:color w:val="000000"/>
          <w:sz w:val="28"/>
          <w:shd w:val="clear" w:fill="FFFF00"/>
        </w:rPr>
      </w:pPr>
    </w:p>
    <w:p>
      <w:pPr>
        <w:spacing w:lineRule="auto" w:line="276" w:beforeAutospacing="0" w:afterAutospacing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7. Финансовое обеспечение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Целью финансовой политики Кочевской ТО Профсоюза в 2022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 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</w:t>
      </w:r>
    </w:p>
    <w:p>
      <w:pPr>
        <w:spacing w:lineRule="auto" w:line="276" w:beforeAutospacing="0" w:afterAutospacing="0"/>
        <w:ind w:firstLine="708"/>
        <w:jc w:val="both"/>
        <w:rPr>
          <w:rFonts w:ascii="Times New Roman" w:hAnsi="Times New Roman"/>
          <w:color w:val="000000"/>
          <w:sz w:val="28"/>
          <w:shd w:val="clear" w:fill="FFFF00"/>
        </w:rPr>
      </w:pPr>
      <w:r>
        <w:rPr>
          <w:rFonts w:ascii="Times New Roman" w:hAnsi="Times New Roman"/>
          <w:sz w:val="28"/>
        </w:rPr>
        <w:t xml:space="preserve">В декабре ТО переведена на экономически выгодный тариф по обслуживанию в банке. </w:t>
      </w:r>
    </w:p>
    <w:p>
      <w:pPr>
        <w:spacing w:lineRule="auto" w:line="276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8. Заключение</w:t>
      </w:r>
    </w:p>
    <w:p>
      <w:pPr>
        <w:pStyle w:val="P7"/>
        <w:spacing w:lineRule="auto" w:line="276" w:beforeAutospacing="0" w:afterAutospacing="0"/>
        <w:ind w:firstLine="694" w:left="14" w:right="34"/>
        <w:jc w:val="both"/>
        <w:rPr>
          <w:sz w:val="28"/>
        </w:rPr>
      </w:pPr>
      <w:r>
        <w:rPr>
          <w:sz w:val="28"/>
        </w:rPr>
        <w:t>Профсоюзному комитету надо постараться еще активнее заявить о себе, о роли профсоюзной организации в жизни коллектива. Главными направлениями в этой работе остаются: защита прав и интересов работников образования, соблюдение законности, повышение ответственности за результаты своего личного труда и работы коллектива в целом.</w:t>
      </w:r>
    </w:p>
    <w:p>
      <w:pPr>
        <w:pStyle w:val="P7"/>
        <w:spacing w:lineRule="auto" w:line="276" w:beforeAutospacing="0" w:afterAutospacing="0"/>
        <w:ind w:firstLine="694" w:left="14" w:right="34"/>
        <w:jc w:val="both"/>
        <w:rPr>
          <w:sz w:val="28"/>
        </w:rPr>
      </w:pPr>
    </w:p>
    <w:p>
      <w:pPr>
        <w:spacing w:lineRule="auto" w:line="276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 на 2023 год:</w:t>
      </w:r>
    </w:p>
    <w:p>
      <w:pPr>
        <w:spacing w:lineRule="auto" w:line="276" w:beforeAutospacing="0" w:afterAutospacing="0"/>
        <w:ind w:firstLine="1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-    Проводить работу над повышением численности</w:t>
      </w:r>
      <w:r>
        <w:rPr>
          <w:rFonts w:ascii="Times New Roman" w:hAnsi="Times New Roman"/>
          <w:color w:val="000000"/>
          <w:sz w:val="28"/>
        </w:rPr>
        <w:t xml:space="preserve"> членов профсоюза;</w:t>
      </w:r>
    </w:p>
    <w:p>
      <w:pPr>
        <w:spacing w:lineRule="auto" w:line="276" w:beforeAutospacing="0" w:afterAutospacing="0"/>
        <w:ind w:firstLine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Выстраивать работу с молодыми педагогами образовательных организаций; </w:t>
      </w:r>
    </w:p>
    <w:p>
      <w:pPr>
        <w:spacing w:lineRule="auto" w:line="276" w:beforeAutospacing="0" w:afterAutospacing="0"/>
        <w:ind w:firstLine="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  Повысить уровень жизни членов профсоюза, работников образования;</w:t>
      </w:r>
    </w:p>
    <w:p>
      <w:pPr>
        <w:spacing w:lineRule="auto" w:line="276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Повысить профессиональный уровень председателей профсоюза по уставным и нормативно-правовым вопросам;</w:t>
      </w:r>
    </w:p>
    <w:p>
      <w:pPr>
        <w:spacing w:lineRule="auto" w:line="276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  Продолжить работу в АИС;</w:t>
      </w:r>
    </w:p>
    <w:p>
      <w:pPr>
        <w:spacing w:lineRule="auto" w:line="276" w:beforeAutospacing="0" w:afterAutospacing="0"/>
        <w:jc w:val="both"/>
      </w:pPr>
      <w:r>
        <w:rPr>
          <w:rFonts w:ascii="Times New Roman" w:hAnsi="Times New Roman"/>
          <w:sz w:val="28"/>
        </w:rPr>
        <w:t>- Продолжить процесс заключения коллективных договоров в образовательных организациях Кочевского муниципального округа.</w:t>
      </w:r>
    </w:p>
    <w:p>
      <w:pPr>
        <w:pStyle w:val="P1"/>
        <w:spacing w:lineRule="auto" w:line="276" w:beforeAutospacing="0" w:afterAutospacing="0"/>
        <w:jc w:val="both"/>
        <w:rPr>
          <w:sz w:val="28"/>
        </w:rPr>
      </w:pPr>
    </w:p>
    <w:p/>
    <w:sectPr>
      <w:type w:val="nextPage"/>
      <w:pgSz w:w="11906" w:h="16838" w:code="9"/>
      <w:pgMar w:left="1701" w:right="850" w:top="381" w:bottom="506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89562F6"/>
    <w:multiLevelType w:val="hybridMultilevel"/>
    <w:lvl w:ilvl="0" w:tplc="93828CC0">
      <w:start w:val="1"/>
      <w:numFmt w:val="bullet"/>
      <w:suff w:val="tab"/>
      <w:lvlText w:val="-"/>
      <w:lvlJc w:val="left"/>
      <w:pPr>
        <w:ind w:hanging="164" w:left="632"/>
      </w:pPr>
      <w:rPr>
        <w:rFonts w:ascii="Times New Roman" w:hAnsi="Times New Roman"/>
        <w:sz w:val="28"/>
      </w:rPr>
    </w:lvl>
    <w:lvl w:ilvl="1" w:tplc="17A2F650">
      <w:start w:val="1"/>
      <w:numFmt w:val="bullet"/>
      <w:suff w:val="tab"/>
      <w:lvlText w:val="-"/>
      <w:lvlJc w:val="left"/>
      <w:pPr>
        <w:ind w:hanging="396" w:left="4673"/>
      </w:pPr>
      <w:rPr>
        <w:rFonts w:ascii="Times New Roman" w:hAnsi="Times New Roman"/>
        <w:sz w:val="28"/>
      </w:rPr>
    </w:lvl>
    <w:lvl w:ilvl="2" w:tplc="06788686">
      <w:start w:val="1"/>
      <w:numFmt w:val="bullet"/>
      <w:suff w:val="tab"/>
      <w:lvlText w:val="•"/>
      <w:lvlJc w:val="left"/>
      <w:pPr>
        <w:ind w:hanging="396" w:left="6080"/>
      </w:pPr>
      <w:rPr/>
    </w:lvl>
    <w:lvl w:ilvl="3" w:tplc="5C1ABBDA">
      <w:start w:val="1"/>
      <w:numFmt w:val="bullet"/>
      <w:suff w:val="tab"/>
      <w:lvlText w:val="•"/>
      <w:lvlJc w:val="left"/>
      <w:pPr>
        <w:ind w:hanging="396" w:left="6723"/>
      </w:pPr>
      <w:rPr/>
    </w:lvl>
    <w:lvl w:ilvl="4" w:tplc="2294121E">
      <w:start w:val="1"/>
      <w:numFmt w:val="bullet"/>
      <w:suff w:val="tab"/>
      <w:lvlText w:val="•"/>
      <w:lvlJc w:val="left"/>
      <w:pPr>
        <w:ind w:hanging="396" w:left="7366"/>
      </w:pPr>
      <w:rPr/>
    </w:lvl>
    <w:lvl w:ilvl="5" w:tplc="68088BA0">
      <w:start w:val="1"/>
      <w:numFmt w:val="bullet"/>
      <w:suff w:val="tab"/>
      <w:lvlText w:val="•"/>
      <w:lvlJc w:val="left"/>
      <w:pPr>
        <w:ind w:hanging="396" w:left="8009"/>
      </w:pPr>
      <w:rPr/>
    </w:lvl>
    <w:lvl w:ilvl="6" w:tplc="1A64DE88">
      <w:start w:val="1"/>
      <w:numFmt w:val="bullet"/>
      <w:suff w:val="tab"/>
      <w:lvlText w:val="•"/>
      <w:lvlJc w:val="left"/>
      <w:pPr>
        <w:ind w:hanging="396" w:left="8653"/>
      </w:pPr>
      <w:rPr/>
    </w:lvl>
    <w:lvl w:ilvl="7" w:tplc="A3627A36">
      <w:start w:val="1"/>
      <w:numFmt w:val="bullet"/>
      <w:suff w:val="tab"/>
      <w:lvlText w:val="•"/>
      <w:lvlJc w:val="left"/>
      <w:pPr>
        <w:ind w:hanging="396" w:left="9296"/>
      </w:pPr>
      <w:rPr/>
    </w:lvl>
    <w:lvl w:ilvl="8" w:tplc="DB9A5216">
      <w:start w:val="1"/>
      <w:numFmt w:val="bullet"/>
      <w:suff w:val="tab"/>
      <w:lvlText w:val="•"/>
      <w:lvlJc w:val="left"/>
      <w:pPr>
        <w:ind w:hanging="396" w:left="9939"/>
      </w:pPr>
      <w:rPr/>
    </w:lvl>
  </w:abstractNum>
  <w:abstractNum w:abstractNumId="1">
    <w:nsid w:val="0F904B4D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86"/>
        <w:tabs>
          <w:tab w:val="left" w:pos="786" w:leader="none"/>
        </w:tabs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506"/>
        <w:tabs>
          <w:tab w:val="left" w:pos="1506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226"/>
        <w:tabs>
          <w:tab w:val="left" w:pos="2226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946"/>
        <w:tabs>
          <w:tab w:val="left" w:pos="2946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66"/>
        <w:tabs>
          <w:tab w:val="left" w:pos="3666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86"/>
        <w:tabs>
          <w:tab w:val="left" w:pos="4386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106"/>
        <w:tabs>
          <w:tab w:val="left" w:pos="5106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826"/>
        <w:tabs>
          <w:tab w:val="left" w:pos="5826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546"/>
        <w:tabs>
          <w:tab w:val="left" w:pos="6546" w:leader="none"/>
        </w:tabs>
      </w:pPr>
      <w:rPr>
        <w:rFonts w:ascii="Wingdings" w:hAnsi="Wingdings"/>
      </w:rPr>
    </w:lvl>
  </w:abstractNum>
  <w:abstractNum w:abstractNumId="2">
    <w:nsid w:val="18DF55A4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644"/>
        <w:tabs>
          <w:tab w:val="left" w:pos="644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364"/>
        <w:tabs>
          <w:tab w:val="left" w:pos="1364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084"/>
        <w:tabs>
          <w:tab w:val="left" w:pos="2084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04"/>
        <w:tabs>
          <w:tab w:val="left" w:pos="2804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524"/>
        <w:tabs>
          <w:tab w:val="left" w:pos="3524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244"/>
        <w:tabs>
          <w:tab w:val="left" w:pos="4244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964"/>
        <w:tabs>
          <w:tab w:val="left" w:pos="4964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684"/>
        <w:tabs>
          <w:tab w:val="left" w:pos="5684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04"/>
        <w:tabs>
          <w:tab w:val="left" w:pos="6404" w:leader="none"/>
        </w:tabs>
      </w:pPr>
      <w:rPr/>
    </w:lvl>
  </w:abstractNum>
  <w:abstractNum w:abstractNumId="3">
    <w:nsid w:val="1AA6031F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BCE705E"/>
    <w:multiLevelType w:val="hybridMultilevel"/>
    <w:lvl w:ilvl="0" w:tplc="0419000D">
      <w:start w:val="1"/>
      <w:numFmt w:val="bullet"/>
      <w:suff w:val="tab"/>
      <w:lvlText w:val=""/>
      <w:lvlJc w:val="left"/>
      <w:pPr>
        <w:ind w:hanging="360" w:left="720"/>
      </w:pPr>
      <w:rPr>
        <w:rFonts w:ascii="Wingdings" w:hAnsi="Wingdings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1BE96B3A"/>
    <w:multiLevelType w:val="hybridMultilevel"/>
    <w:lvl w:ilvl="0" w:tplc="BF5E06A8">
      <w:start w:val="1"/>
      <w:numFmt w:val="decimal"/>
      <w:suff w:val="tab"/>
      <w:lvlText w:val="%1."/>
      <w:lvlJc w:val="left"/>
      <w:pPr>
        <w:ind w:hanging="360" w:left="54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26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198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70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42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14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86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58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300"/>
      </w:pPr>
      <w:rPr/>
    </w:lvl>
  </w:abstractNum>
  <w:abstractNum w:abstractNumId="6">
    <w:nsid w:val="1C9B11A7"/>
    <w:multiLevelType w:val="hybridMultilevel"/>
    <w:lvl w:ilvl="0" w:tplc="E1923ED4">
      <w:start w:val="1"/>
      <w:numFmt w:val="bullet"/>
      <w:suff w:val="tab"/>
      <w:lvlText w:val="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1CAC1F45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21C11A63"/>
    <w:multiLevelType w:val="hybridMultilevel"/>
    <w:lvl w:ilvl="0" w:tplc="0419000D">
      <w:start w:val="1"/>
      <w:numFmt w:val="bullet"/>
      <w:suff w:val="tab"/>
      <w:lvlText w:val="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2E1E7BC1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38B12FCE"/>
    <w:multiLevelType w:val="hybridMultilevel"/>
    <w:lvl w:ilvl="0" w:tplc="F0A6CF76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38CB1352"/>
    <w:multiLevelType w:val="multilevel"/>
    <w:lvl w:ilvl="0">
      <w:start w:val="1"/>
      <w:numFmt w:val="decimal"/>
      <w:suff w:val="tab"/>
      <w:lvlText w:val="%1."/>
      <w:lvlJc w:val="left"/>
      <w:pPr>
        <w:ind w:hanging="360" w:left="705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450" w:left="1519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2513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1080" w:left="3597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4321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440" w:left="5405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6129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800" w:left="7213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2160" w:left="8297"/>
      </w:pPr>
      <w:rPr/>
    </w:lvl>
  </w:abstractNum>
  <w:abstractNum w:abstractNumId="12">
    <w:nsid w:val="3D8E229D"/>
    <w:multiLevelType w:val="hybridMultilevel"/>
    <w:lvl w:ilvl="0" w:tplc="0419000D">
      <w:start w:val="1"/>
      <w:numFmt w:val="bullet"/>
      <w:suff w:val="tab"/>
      <w:lvlText w:val=""/>
      <w:lvlJc w:val="left"/>
      <w:pPr>
        <w:ind w:hanging="360" w:left="900"/>
        <w:tabs>
          <w:tab w:val="left" w:pos="900" w:leader="none"/>
        </w:tabs>
      </w:pPr>
      <w:rPr>
        <w:rFonts w:ascii="Wingdings" w:hAnsi="Wingdings"/>
      </w:rPr>
    </w:lvl>
    <w:lvl w:ilvl="1" w:tplc="04190003">
      <w:start w:val="1"/>
      <w:numFmt w:val="bullet"/>
      <w:suff w:val="tab"/>
      <w:lvlText w:val="o"/>
      <w:lvlJc w:val="left"/>
      <w:pPr>
        <w:ind w:hanging="360" w:left="1620"/>
        <w:tabs>
          <w:tab w:val="left" w:pos="162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340"/>
        <w:tabs>
          <w:tab w:val="left" w:pos="234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060"/>
        <w:tabs>
          <w:tab w:val="left" w:pos="306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780"/>
        <w:tabs>
          <w:tab w:val="left" w:pos="378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500"/>
        <w:tabs>
          <w:tab w:val="left" w:pos="450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220"/>
        <w:tabs>
          <w:tab w:val="left" w:pos="522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940"/>
        <w:tabs>
          <w:tab w:val="left" w:pos="594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660"/>
        <w:tabs>
          <w:tab w:val="left" w:pos="6660" w:leader="none"/>
        </w:tabs>
      </w:pPr>
      <w:rPr>
        <w:rFonts w:ascii="Wingdings" w:hAnsi="Wingdings"/>
      </w:rPr>
    </w:lvl>
  </w:abstractNum>
  <w:abstractNum w:abstractNumId="13">
    <w:nsid w:val="3F26467B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4AFB3C83"/>
    <w:multiLevelType w:val="hybridMultilevel"/>
    <w:lvl w:ilvl="0" w:tplc="0419000D">
      <w:start w:val="1"/>
      <w:numFmt w:val="bullet"/>
      <w:suff w:val="tab"/>
      <w:lvlText w:val="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5D1A02C6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6">
    <w:nsid w:val="638237B2"/>
    <w:multiLevelType w:val="hybridMultilevel"/>
    <w:lvl w:ilvl="0" w:tplc="0419000D">
      <w:start w:val="1"/>
      <w:numFmt w:val="bullet"/>
      <w:suff w:val="tab"/>
      <w:lvlText w:val="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63D93B76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644"/>
        <w:tabs>
          <w:tab w:val="left" w:pos="644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364"/>
        <w:tabs>
          <w:tab w:val="left" w:pos="1364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084"/>
        <w:tabs>
          <w:tab w:val="left" w:pos="2084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04"/>
        <w:tabs>
          <w:tab w:val="left" w:pos="2804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524"/>
        <w:tabs>
          <w:tab w:val="left" w:pos="3524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244"/>
        <w:tabs>
          <w:tab w:val="left" w:pos="4244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4964"/>
        <w:tabs>
          <w:tab w:val="left" w:pos="4964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684"/>
        <w:tabs>
          <w:tab w:val="left" w:pos="5684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04"/>
        <w:tabs>
          <w:tab w:val="left" w:pos="6404" w:leader="none"/>
        </w:tabs>
      </w:pPr>
      <w:rPr/>
    </w:lvl>
  </w:abstractNum>
  <w:abstractNum w:abstractNumId="18">
    <w:nsid w:val="6CFB22EB"/>
    <w:multiLevelType w:val="hybridMultilevel"/>
    <w:lvl w:ilvl="0" w:tplc="0419000F">
      <w:start w:val="8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71B914D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2."/>
      <w:lvlJc w:val="left"/>
      <w:pPr>
        <w:ind w:hanging="450" w:left="1170"/>
      </w:pPr>
      <w:rPr>
        <w:rFonts w:ascii="Times New Roman" w:hAnsi="Times New Roman"/>
      </w:rPr>
    </w:lvl>
    <w:lvl w:ilvl="2">
      <w:start w:val="1"/>
      <w:numFmt w:val="decimal"/>
      <w:isLgl w:val="1"/>
      <w:suff w:val="tab"/>
      <w:lvlText w:val="%1.%2.%3"/>
      <w:lvlJc w:val="left"/>
      <w:pPr>
        <w:ind w:hanging="720" w:left="1800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1080" w:left="2520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2880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440" w:left="3600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3960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800" w:left="4680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2160" w:left="5400"/>
      </w:pPr>
      <w:rPr/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3"/>
  </w:num>
  <w:num w:numId="5">
    <w:abstractNumId w:val="6"/>
  </w:num>
  <w:num w:numId="6">
    <w:abstractNumId w:val="15"/>
  </w:num>
  <w:num w:numId="7">
    <w:abstractNumId w:val="2"/>
  </w:num>
  <w:num w:numId="8">
    <w:abstractNumId w:val="5"/>
  </w:num>
  <w:num w:numId="9">
    <w:abstractNumId w:val="13"/>
  </w:num>
  <w:num w:numId="10">
    <w:abstractNumId w:val="14"/>
  </w:num>
  <w:num w:numId="11">
    <w:abstractNumId w:val="8"/>
  </w:num>
  <w:num w:numId="12">
    <w:abstractNumId w:val="12"/>
  </w:num>
  <w:num w:numId="13">
    <w:abstractNumId w:val="16"/>
  </w:num>
  <w:num w:numId="14">
    <w:abstractNumId w:val="4"/>
  </w:num>
  <w:num w:numId="15">
    <w:abstractNumId w:val="18"/>
  </w:num>
  <w:num w:numId="16">
    <w:abstractNumId w:val="7"/>
  </w:num>
  <w:num w:numId="17">
    <w:abstractNumId w:val="1"/>
  </w:num>
  <w:num w:numId="18">
    <w:abstractNumId w:val="11"/>
  </w:num>
  <w:num w:numId="19">
    <w:abstractNumId w:val="19"/>
  </w:num>
  <w:num w:numId="20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sz w:val="24"/>
    </w:rPr>
  </w:style>
  <w:style w:type="paragraph" w:styleId="P1">
    <w:name w:val="Default"/>
    <w:pPr/>
    <w:rPr>
      <w:rFonts w:ascii="Times New Roman" w:hAnsi="Times New Roman"/>
      <w:color w:val="000000"/>
      <w:sz w:val="24"/>
    </w:rPr>
  </w:style>
  <w:style w:type="paragraph" w:styleId="P2">
    <w:name w:val="Balloon Text"/>
    <w:basedOn w:val="P0"/>
    <w:link w:val="C3"/>
    <w:semiHidden/>
    <w:pPr/>
    <w:rPr>
      <w:rFonts w:ascii="Tahoma" w:hAnsi="Tahoma"/>
      <w:sz w:val="16"/>
    </w:rPr>
  </w:style>
  <w:style w:type="paragraph" w:styleId="P3">
    <w:name w:val="List Paragraph"/>
    <w:basedOn w:val="P0"/>
    <w:qFormat/>
    <w:pPr>
      <w:ind w:left="720"/>
      <w:contextualSpacing w:val="1"/>
    </w:pPr>
    <w:rPr/>
  </w:style>
  <w:style w:type="paragraph" w:styleId="P4">
    <w:name w:val="No Spacing"/>
    <w:qFormat/>
    <w:pPr/>
    <w:rPr>
      <w:sz w:val="22"/>
    </w:rPr>
  </w:style>
  <w:style w:type="paragraph" w:styleId="P5">
    <w:name w:val="ConsPlusNormal"/>
    <w:pPr>
      <w:widowControl w:val="0"/>
    </w:pPr>
    <w:rPr>
      <w:rFonts w:ascii="Arial" w:hAnsi="Arial"/>
    </w:rPr>
  </w:style>
  <w:style w:type="paragraph" w:styleId="P6">
    <w:name w:val="ConsNormal"/>
    <w:pPr>
      <w:widowControl w:val="0"/>
      <w:ind w:firstLine="720"/>
    </w:pPr>
    <w:rPr>
      <w:rFonts w:ascii="Arial" w:hAnsi="Arial"/>
    </w:rPr>
  </w:style>
  <w:style w:type="paragraph" w:styleId="P7">
    <w:name w:val="Стиль"/>
    <w:pPr>
      <w:widowControl w:val="0"/>
    </w:pPr>
    <w:rPr>
      <w:rFonts w:ascii="Times New Roman" w:hAnsi="Times New Roman"/>
      <w:sz w:val="24"/>
    </w:rPr>
  </w:style>
  <w:style w:type="paragraph" w:styleId="P8">
    <w:name w:val="header"/>
    <w:basedOn w:val="P0"/>
    <w:link w:val="C5"/>
    <w:semiHidden/>
    <w:pPr>
      <w:tabs>
        <w:tab w:val="center" w:pos="4677" w:leader="none"/>
        <w:tab w:val="right" w:pos="9355" w:leader="none"/>
      </w:tabs>
    </w:pPr>
    <w:rPr/>
  </w:style>
  <w:style w:type="paragraph" w:styleId="P9">
    <w:name w:val="footer"/>
    <w:basedOn w:val="P0"/>
    <w:link w:val="C6"/>
    <w:semiHidden/>
    <w:pPr>
      <w:tabs>
        <w:tab w:val="center" w:pos="4677" w:leader="none"/>
        <w:tab w:val="right" w:pos="9355" w:leader="none"/>
      </w:tabs>
    </w:pPr>
    <w:rPr/>
  </w:style>
  <w:style w:type="paragraph" w:styleId="P10">
    <w:name w:val="Основной текст (2)"/>
    <w:basedOn w:val="P0"/>
    <w:link w:val="C7"/>
    <w:pPr>
      <w:widowControl w:val="0"/>
      <w:shd w:val="clear" w:fill="FFFFFF"/>
      <w:spacing w:lineRule="exact" w:line="322" w:before="300" w:after="300" w:beforeAutospacing="0" w:afterAutospacing="0"/>
      <w:ind w:firstLine="360"/>
      <w:jc w:val="both"/>
    </w:pPr>
    <w:rPr>
      <w:rFonts w:ascii="Times New Roman" w:hAnsi="Times New Roman"/>
      <w:sz w:val="28"/>
    </w:rPr>
  </w:style>
  <w:style w:type="paragraph" w:styleId="P11">
    <w:name w:val="Normal (Web)"/>
    <w:basedOn w:val="P0"/>
    <w:pPr>
      <w:spacing w:before="100" w:after="100" w:beforeAutospacing="1" w:afterAutospacing="1"/>
    </w:pPr>
    <w:rPr>
      <w:rFonts w:ascii="Times New Roman" w:hAnsi="Times New Roman"/>
    </w:rPr>
  </w:style>
  <w:style w:type="paragraph" w:styleId="P12">
    <w:name w:val="2"/>
    <w:basedOn w:val="P0"/>
    <w:pPr>
      <w:spacing w:before="100" w:after="100" w:beforeAutospacing="1" w:afterAutospacing="1"/>
    </w:pPr>
    <w:rPr>
      <w:rFonts w:ascii="Times New Roman" w:hAnsi="Times New Roman"/>
    </w:rPr>
  </w:style>
  <w:style w:type="paragraph" w:styleId="P13">
    <w:name w:val="ConsPlusTitle"/>
    <w:pPr>
      <w:widowControl w:val="0"/>
    </w:pPr>
    <w:rPr>
      <w:b w:val="1"/>
      <w:sz w:val="22"/>
    </w:rPr>
  </w:style>
  <w:style w:type="paragraph" w:styleId="P14">
    <w:name w:val="Pa9"/>
    <w:basedOn w:val="P1"/>
    <w:next w:val="P1"/>
    <w:pPr>
      <w:spacing w:lineRule="atLeast" w:line="241" w:beforeAutospacing="0" w:afterAutospacing="0"/>
    </w:pPr>
    <w:rPr>
      <w:color w:val="auto"/>
    </w:rPr>
  </w:style>
  <w:style w:type="paragraph" w:styleId="P15">
    <w:name w:val="p8"/>
    <w:basedOn w:val="P0"/>
    <w:pPr>
      <w:spacing w:before="100" w:after="100" w:beforeAutospacing="1" w:afterAutospacing="1"/>
    </w:pPr>
    <w:rPr>
      <w:rFonts w:ascii="Times New Roman" w:hAnsi="Times New Roman"/>
    </w:rPr>
  </w:style>
  <w:style w:type="paragraph" w:styleId="P16">
    <w:name w:val="Body Text"/>
    <w:basedOn w:val="P0"/>
    <w:link w:val="C10"/>
    <w:qFormat/>
    <w:pPr>
      <w:widowControl w:val="0"/>
      <w:ind w:left="632"/>
    </w:pPr>
    <w:rPr>
      <w:rFonts w:ascii="Times New Roman" w:hAnsi="Times New Roman"/>
      <w:sz w:val="28"/>
    </w:rPr>
  </w:style>
  <w:style w:type="paragraph" w:styleId="P17">
    <w:name w:val="???????"/>
    <w:basedOn w:val="P0"/>
    <w:pPr>
      <w:tabs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</w:pPr>
    <w:rPr>
      <w:rFonts w:ascii="Microsoft YaHei" w:hAnsi="Microsoft YaHei"/>
      <w:color w:val="FFFFFF"/>
      <w:sz w:val="36"/>
    </w:rPr>
  </w:style>
  <w:style w:type="paragraph" w:styleId="P18">
    <w:name w:val="Абзац списка1"/>
    <w:basedOn w:val="P0"/>
    <w:pPr>
      <w:spacing w:after="200" w:beforeAutospacing="0" w:afterAutospacing="0"/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character" w:styleId="C3">
    <w:name w:val="Текст выноски Знак"/>
    <w:basedOn w:val="C0"/>
    <w:link w:val="P2"/>
    <w:semiHidden/>
    <w:rPr>
      <w:rFonts w:ascii="Tahoma" w:hAnsi="Tahoma"/>
      <w:sz w:val="16"/>
    </w:rPr>
  </w:style>
  <w:style w:type="character" w:styleId="C4">
    <w:name w:val="Strong"/>
    <w:basedOn w:val="C0"/>
    <w:qFormat/>
    <w:rPr>
      <w:b w:val="1"/>
    </w:rPr>
  </w:style>
  <w:style w:type="character" w:styleId="C5">
    <w:name w:val="Верхний колонтитул Знак"/>
    <w:basedOn w:val="C0"/>
    <w:link w:val="P8"/>
    <w:semiHidden/>
    <w:rPr/>
  </w:style>
  <w:style w:type="character" w:styleId="C6">
    <w:name w:val="Нижний колонтитул Знак"/>
    <w:basedOn w:val="C0"/>
    <w:link w:val="P9"/>
    <w:semiHidden/>
    <w:rPr/>
  </w:style>
  <w:style w:type="character" w:styleId="C7">
    <w:name w:val="Основной текст (2)_"/>
    <w:basedOn w:val="C0"/>
    <w:link w:val="P10"/>
    <w:rPr>
      <w:rFonts w:ascii="Times New Roman" w:hAnsi="Times New Roman"/>
      <w:sz w:val="28"/>
    </w:rPr>
  </w:style>
  <w:style w:type="character" w:styleId="C8">
    <w:name w:val="A1"/>
    <w:rPr>
      <w:rFonts w:ascii="Times New Roman" w:hAnsi="Times New Roman"/>
      <w:b w:val="1"/>
      <w:color w:val="000000"/>
      <w:sz w:val="20"/>
    </w:rPr>
  </w:style>
  <w:style w:type="character" w:styleId="C9">
    <w:name w:val="A7"/>
    <w:rPr>
      <w:rFonts w:ascii="Times New Roman" w:hAnsi="Times New Roman"/>
      <w:color w:val="000000"/>
      <w:sz w:val="20"/>
      <w:u w:val="single"/>
    </w:rPr>
  </w:style>
  <w:style w:type="character" w:styleId="C10">
    <w:name w:val="Основной текст Знак"/>
    <w:basedOn w:val="C0"/>
    <w:link w:val="P16"/>
    <w:rPr>
      <w:rFonts w:ascii="Times New Roman" w:hAnsi="Times New Roman"/>
      <w:sz w:val="28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9" Type="http://schemas.openxmlformats.org/officeDocument/2006/relationships/image" Target="/media/image19.jpg" /><Relationship Id="Relimage7" Type="http://schemas.openxmlformats.org/officeDocument/2006/relationships/image" Target="/media/image7.jpg" /><Relationship Id="Relimage17" Type="http://schemas.openxmlformats.org/officeDocument/2006/relationships/image" Target="/media/image17.png" /><Relationship Id="Relimage3" Type="http://schemas.openxmlformats.org/officeDocument/2006/relationships/image" Target="/media/image3.png" /><Relationship Id="Relimage16" Type="http://schemas.openxmlformats.org/officeDocument/2006/relationships/image" Target="/media/image16.jpg" /><Relationship Id="Relimage4" Type="http://schemas.openxmlformats.org/officeDocument/2006/relationships/image" Target="/media/image4.jpg" /><Relationship Id="Relimage13" Type="http://schemas.openxmlformats.org/officeDocument/2006/relationships/image" Target="/media/image13.jpg" /><Relationship Id="Relimage18" Type="http://schemas.openxmlformats.org/officeDocument/2006/relationships/image" Target="/media/image18.jpg" /><Relationship Id="Relimage15" Type="http://schemas.openxmlformats.org/officeDocument/2006/relationships/image" Target="/media/image15.jpg" /><Relationship Id="Relimage6" Type="http://schemas.openxmlformats.org/officeDocument/2006/relationships/image" Target="/media/image6.jpg" /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image10" Type="http://schemas.openxmlformats.org/officeDocument/2006/relationships/image" Target="/media/image10.jpg" /><Relationship Id="Relimage14" Type="http://schemas.openxmlformats.org/officeDocument/2006/relationships/image" Target="/media/image14.jpg" /><Relationship Id="Relimage12" Type="http://schemas.openxmlformats.org/officeDocument/2006/relationships/image" Target="/media/image12.jpg" /><Relationship Id="Relimage5" Type="http://schemas.openxmlformats.org/officeDocument/2006/relationships/image" Target="/media/image5.jpg" /><Relationship Id="Relimage11" Type="http://schemas.openxmlformats.org/officeDocument/2006/relationships/image" Target="/media/image1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