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BAFF9BD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</w:pPr>
    </w:p>
    <w:p>
      <w:pPr>
        <w:pStyle w:val="P1"/>
        <w:jc w:val="center"/>
        <w:rPr>
          <w:b w:val="1"/>
          <w:sz w:val="48"/>
        </w:rPr>
      </w:pPr>
    </w:p>
    <w:p>
      <w:pPr>
        <w:pStyle w:val="P1"/>
        <w:jc w:val="center"/>
        <w:rPr>
          <w:b w:val="1"/>
          <w:sz w:val="48"/>
        </w:rPr>
      </w:pPr>
    </w:p>
    <w:p>
      <w:pPr>
        <w:pStyle w:val="P1"/>
        <w:jc w:val="center"/>
        <w:rPr>
          <w:b w:val="1"/>
          <w:noProof w:val="1"/>
          <w:sz w:val="48"/>
        </w:rPr>
      </w:pPr>
      <w:r>
        <w:drawing>
          <wp:inline xmlns:wp="http://schemas.openxmlformats.org/drawingml/2006/wordprocessingDrawing">
            <wp:extent cx="3186430" cy="318643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3186430"/>
                    </a:xfrm>
                    <a:prstGeom prst="rect"/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>
      <w:pPr>
        <w:pStyle w:val="P1"/>
        <w:jc w:val="center"/>
        <w:rPr>
          <w:b w:val="1"/>
          <w:noProof w:val="1"/>
          <w:sz w:val="48"/>
        </w:rPr>
      </w:pPr>
    </w:p>
    <w:p>
      <w:pPr>
        <w:pStyle w:val="P1"/>
        <w:jc w:val="center"/>
        <w:rPr>
          <w:b w:val="1"/>
          <w:sz w:val="48"/>
        </w:rPr>
      </w:pPr>
    </w:p>
    <w:p>
      <w:pPr>
        <w:pStyle w:val="P1"/>
        <w:rPr>
          <w:sz w:val="48"/>
        </w:rPr>
      </w:pPr>
      <w:r>
        <w:rPr>
          <w:b w:val="1"/>
          <w:sz w:val="48"/>
        </w:rPr>
        <w:t xml:space="preserve">                  ПУБЛИЧНЫЙ ОТЧЕТ</w:t>
      </w:r>
    </w:p>
    <w:p>
      <w:pPr>
        <w:pStyle w:val="P1"/>
        <w:rPr>
          <w:b w:val="1"/>
          <w:sz w:val="32"/>
        </w:rPr>
      </w:pPr>
    </w:p>
    <w:p>
      <w:pPr>
        <w:pStyle w:val="P1"/>
        <w:jc w:val="center"/>
        <w:rPr>
          <w:sz w:val="32"/>
        </w:rPr>
      </w:pPr>
      <w:r>
        <w:rPr>
          <w:b w:val="1"/>
          <w:sz w:val="32"/>
        </w:rPr>
        <w:t>Кочёвской районной территориальной организации</w:t>
      </w:r>
    </w:p>
    <w:p>
      <w:pPr>
        <w:pStyle w:val="P1"/>
        <w:jc w:val="center"/>
        <w:rPr>
          <w:sz w:val="32"/>
        </w:rPr>
      </w:pPr>
      <w:r>
        <w:rPr>
          <w:b w:val="1"/>
          <w:sz w:val="32"/>
        </w:rPr>
        <w:t>профсоюза работников народного образования и науки РФ</w:t>
      </w:r>
    </w:p>
    <w:p>
      <w:pPr>
        <w:pStyle w:val="P1"/>
        <w:jc w:val="center"/>
        <w:rPr>
          <w:sz w:val="32"/>
        </w:rPr>
      </w:pPr>
      <w:r>
        <w:rPr>
          <w:b w:val="1"/>
          <w:sz w:val="32"/>
        </w:rPr>
        <w:t>за 2020 год</w:t>
      </w:r>
    </w:p>
    <w:p>
      <w:pPr>
        <w:jc w:val="center"/>
      </w:pPr>
    </w:p>
    <w:p>
      <w:pPr>
        <w:jc w:val="center"/>
      </w:pPr>
      <w:r>
        <w:tab/>
        <w:tab/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tabs>
          <w:tab w:val="center" w:pos="4677" w:leader="none"/>
          <w:tab w:val="left" w:pos="5846" w:leader="none"/>
        </w:tabs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b w:val="1"/>
          <w:sz w:val="26"/>
        </w:rPr>
        <w:t>с. Кочёво</w:t>
      </w:r>
    </w:p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Деятельность профсоюзной организации в 2020 году</w:t>
      </w:r>
    </w:p>
    <w:p>
      <w:pPr>
        <w:spacing w:after="0" w:beforeAutospacing="0" w:afterAutospacing="0"/>
        <w:rPr>
          <w:rFonts w:ascii="Times New Roman" w:hAnsi="Times New Roman"/>
        </w:rPr>
      </w:pP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Цель:</w:t>
      </w:r>
      <w:r>
        <w:rPr>
          <w:rFonts w:ascii="Times New Roman" w:hAnsi="Times New Roman"/>
          <w:sz w:val="28"/>
        </w:rPr>
        <w:t xml:space="preserve"> Усиление работы по защите социально-экономических прав работников образования, вовлечение педагогов в профсоюзную деятельность.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8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1. Общая характеристика  организации.</w:t>
      </w:r>
    </w:p>
    <w:p>
      <w:pPr>
        <w:tabs>
          <w:tab w:val="left" w:pos="3975" w:leader="none"/>
        </w:tabs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Кочёвской районной территориальной организации профсоюза работников образования охват профсоюзным членством составляет 18,1 %. </w:t>
      </w:r>
    </w:p>
    <w:p>
      <w:pPr>
        <w:pStyle w:val="P1"/>
        <w:spacing w:lineRule="auto" w:line="240" w:beforeAutospacing="0" w:afterAutospacing="0"/>
        <w:jc w:val="both"/>
        <w:rPr>
          <w:sz w:val="28"/>
        </w:rPr>
      </w:pPr>
      <w:r>
        <w:rPr>
          <w:sz w:val="28"/>
        </w:rPr>
        <w:t xml:space="preserve">Первичные профсоюзные организации имеются в 7 образовательных организациях. Общее количество членов профсоюза в территориальной организации – 94 человека, из них молодёжи – 23 педагога, что составляет 35,9 %. </w:t>
      </w: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2. Методическая работа. </w:t>
      </w:r>
    </w:p>
    <w:p>
      <w:pPr>
        <w:spacing w:lineRule="auto" w:line="240" w:after="0" w:beforeAutospacing="0" w:afterAutospacing="0"/>
        <w:ind w:firstLine="70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Районный комитет профсоюза образования  проводила свою деятельность  по плану, принятому на президиуме райкома профсоюза на 2020 год, по плану Совета молодых педагогов, также принимала участие в мероприятиях, проводимых  управлением образования Кочёвкого муниципального округа.</w:t>
      </w:r>
    </w:p>
    <w:p>
      <w:pPr>
        <w:spacing w:lineRule="auto" w:line="240" w:after="0" w:beforeAutospacing="0" w:afterAutospacing="0"/>
        <w:ind w:firstLine="70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Председатель территориальной организации профсоюза принимает постоянное участие в заседаниях Координационного совета  Кочёвского муниципального округа. </w:t>
      </w:r>
      <w:r>
        <w:rPr>
          <w:rFonts w:ascii="Times New Roman" w:hAnsi="Times New Roman"/>
          <w:color w:val="000000"/>
          <w:sz w:val="28"/>
        </w:rPr>
        <w:t>Готовила выступление</w:t>
      </w:r>
      <w:r>
        <w:rPr>
          <w:rFonts w:ascii="Times New Roman" w:hAnsi="Times New Roman"/>
          <w:color w:val="000000"/>
          <w:sz w:val="28"/>
        </w:rPr>
        <w:t xml:space="preserve"> по социальному партнёрству.</w:t>
      </w:r>
      <w:r>
        <w:rPr>
          <w:rFonts w:ascii="Times New Roman" w:hAnsi="Times New Roman"/>
          <w:sz w:val="28"/>
        </w:rPr>
        <w:t xml:space="preserve"> Ежемесячно - участие в работе районной аттестационной комиссии педагогов на квалификационную категорию.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noProof w:val="1"/>
          <w:sz w:val="28"/>
        </w:rPr>
      </w:pPr>
      <w:r>
        <w:rPr>
          <w:rFonts w:ascii="Times New Roman" w:hAnsi="Times New Roman"/>
          <w:noProof w:val="1"/>
          <w:sz w:val="28"/>
        </w:rPr>
        <w:t>Проводились семинары-совещания с председателями первичных профсоюзных организаций, с райкомом профсоюза, с президиумом райкома профсоюза, членами Совета молодых педагогов, на которых рассматривались вопросы по трудовому законодательству в части регулирования труда педагогических рабо</w:t>
      </w:r>
      <w:r>
        <w:rPr>
          <w:rFonts w:ascii="Times New Roman" w:hAnsi="Times New Roman"/>
          <w:noProof w:val="1"/>
          <w:sz w:val="28"/>
        </w:rPr>
        <w:t>т</w:t>
      </w:r>
      <w:r>
        <w:rPr>
          <w:rFonts w:ascii="Times New Roman" w:hAnsi="Times New Roman"/>
          <w:noProof w:val="1"/>
          <w:sz w:val="28"/>
        </w:rPr>
        <w:t xml:space="preserve">ников, вопросы по оплате труда, льготы педагогам сельской местности и  коммунальным услугам.</w:t>
      </w:r>
    </w:p>
    <w:p>
      <w:pPr>
        <w:pStyle w:val="P1"/>
        <w:spacing w:lineRule="auto" w:line="240" w:beforeAutospacing="0" w:afterAutospacing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условиях неблагоприятной эпидемиологической обстановки профсоюзная работа была перестроена. Мероприятия проводились в online-формате.</w:t>
      </w:r>
    </w:p>
    <w:p>
      <w:pPr>
        <w:pStyle w:val="P1"/>
        <w:spacing w:lineRule="auto" w:line="240" w:beforeAutospacing="0" w:afterAutospacing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Проводилась работа по мотивации профсоюзного членства, встречи  с руководителями ОО с каждым по отдельности.</w:t>
      </w:r>
    </w:p>
    <w:p>
      <w:pPr>
        <w:pStyle w:val="P1"/>
        <w:spacing w:lineRule="auto" w:line="240" w:beforeAutospacing="0" w:afterAutospacing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декабре 2020 года создана первичная профсоюзная организация в МБОУ «Юксеевская СОШ», собрание проходило дистанционно, на платформе  ZOOM, председателем избрана молодой педагог, членов профсоюза – 6 человек. В 2021 году продолжится работа по принятию колдоговора в данной организации и по мотивации профсоюзного членства. 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67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заседаниях райкома профсоюза рассматривались вопросы «О статистических отчётах первичных профсоюзных организаций», «О работе по мотивации профсоюзного членства в первичных профсоюзных организациях», «Анализ работы РТО». 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67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территориальной организации участвовала во всех совещаниях и семинарах, проводимых краевой организацией Профсоюза.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674"/>
        <w:jc w:val="both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Педагоги, члены профсоюза, ОО включены в Единый реестр Общероссийского Профсоюза образования, в программе 1С, получают электронный профсоюзный билет. </w:t>
      </w: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3. Социальное партн</w:t>
      </w:r>
      <w:r>
        <w:rPr>
          <w:rFonts w:ascii="Times New Roman" w:hAnsi="Times New Roman"/>
          <w:b w:val="1"/>
          <w:sz w:val="28"/>
        </w:rPr>
        <w:t>е</w:t>
      </w:r>
      <w:r>
        <w:rPr>
          <w:rFonts w:ascii="Times New Roman" w:hAnsi="Times New Roman"/>
          <w:b w:val="1"/>
          <w:sz w:val="28"/>
        </w:rPr>
        <w:t>рство.</w:t>
      </w:r>
    </w:p>
    <w:p>
      <w:pPr>
        <w:pStyle w:val="P12"/>
        <w:shd w:val="clear" w:fill="FFFFFF"/>
        <w:spacing w:lineRule="auto" w:line="240" w:before="0" w:after="0" w:beforeAutospacing="0" w:afterAutospacing="0"/>
        <w:ind w:firstLine="708"/>
        <w:jc w:val="both"/>
        <w:rPr>
          <w:b w:val="1"/>
          <w:sz w:val="28"/>
        </w:rPr>
      </w:pPr>
      <w:r>
        <w:rPr>
          <w:sz w:val="28"/>
        </w:rPr>
        <w:t>Социальное партнерство в отрасли образования имеет стабильно системный характер. Сложилась система социального партн</w:t>
      </w:r>
      <w:r>
        <w:rPr>
          <w:sz w:val="28"/>
        </w:rPr>
        <w:t>е</w:t>
      </w:r>
      <w:r>
        <w:rPr>
          <w:sz w:val="28"/>
        </w:rPr>
        <w:t xml:space="preserve">рства, которая включает в себя трехстороннее территориальное соглашение, отраслевое соглашение, коллективные договоры, локальные нормативные акты образовательных </w:t>
      </w:r>
      <w:r>
        <w:rPr>
          <w:rStyle w:val="C4"/>
          <w:b w:val="0"/>
          <w:sz w:val="28"/>
        </w:rPr>
        <w:t>учреждений.</w:t>
      </w:r>
      <w:r>
        <w:rPr>
          <w:rStyle w:val="C4"/>
          <w:sz w:val="28"/>
        </w:rPr>
        <w:t xml:space="preserve"> </w:t>
      </w:r>
      <w:r>
        <w:rPr>
          <w:sz w:val="28"/>
        </w:rPr>
        <w:t xml:space="preserve">Заключение коллективного договора дает возможность членам коллектива участвовать в управлении организацией, в регулировании трудовых отношений. Решение всех вопросов проходит путём конструктивного диалога с работодателями в интересах работников. </w:t>
      </w:r>
    </w:p>
    <w:p>
      <w:pPr>
        <w:pStyle w:val="P1"/>
        <w:spacing w:lineRule="auto" w:line="240" w:beforeAutospacing="0" w:afterAutospacing="0"/>
        <w:ind w:firstLine="708"/>
        <w:jc w:val="both"/>
        <w:rPr>
          <w:sz w:val="28"/>
        </w:rPr>
      </w:pPr>
      <w:r>
        <w:rPr>
          <w:sz w:val="28"/>
        </w:rPr>
        <w:t>На муниципальном уровне действует Соглашение о взаимодействии между Управлением образования, работодателями системы образования Кочёвского муниципального округа и Коч</w:t>
      </w:r>
      <w:r>
        <w:rPr>
          <w:sz w:val="28"/>
        </w:rPr>
        <w:t>е</w:t>
      </w:r>
      <w:r>
        <w:rPr>
          <w:sz w:val="28"/>
        </w:rPr>
        <w:t xml:space="preserve">вской территориальной организацией Профсоюза работников образования и науки РФ о сотрудничестве по обеспечению стабильной деятельности и по регулированию социально-трудовых и связанных с ними экономических отношений. </w:t>
      </w:r>
    </w:p>
    <w:p>
      <w:pPr>
        <w:pStyle w:val="P1"/>
        <w:spacing w:lineRule="auto" w:line="240" w:beforeAutospacing="0" w:afterAutospacing="0"/>
        <w:ind w:firstLine="708"/>
        <w:jc w:val="both"/>
        <w:rPr>
          <w:sz w:val="28"/>
        </w:rPr>
      </w:pPr>
      <w:r>
        <w:rPr>
          <w:sz w:val="28"/>
        </w:rPr>
        <w:t>Основным документом социального партн</w:t>
      </w:r>
      <w:r>
        <w:rPr>
          <w:sz w:val="28"/>
        </w:rPr>
        <w:t>е</w:t>
      </w:r>
      <w:r>
        <w:rPr>
          <w:sz w:val="28"/>
        </w:rPr>
        <w:t xml:space="preserve">рства между работодателем образовательной организации и первичной профсоюзной организацией является коллективный договор.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материальную помощь, компенсации, дополнительные оплачиваемые дни. </w:t>
      </w:r>
    </w:p>
    <w:p>
      <w:pPr>
        <w:pStyle w:val="P1"/>
        <w:spacing w:lineRule="auto" w:line="240" w:beforeAutospacing="0" w:afterAutospacing="0"/>
        <w:ind w:firstLine="708"/>
        <w:jc w:val="both"/>
        <w:rPr>
          <w:sz w:val="28"/>
        </w:rPr>
      </w:pPr>
      <w:r>
        <w:rPr>
          <w:sz w:val="28"/>
        </w:rPr>
        <w:t xml:space="preserve">Во всех образовательных организациях приняты и </w:t>
      </w:r>
      <w:r>
        <w:rPr>
          <w:sz w:val="28"/>
        </w:rPr>
        <w:t xml:space="preserve">действуют коллективные договора. В 2020 году продлили  колдоговор МБОУ "Кочёвская СОШ".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Всю свою работу профсоюзные комитеты образовательных организаций строят на принципах социального партнерства и сотрудничества с администрацией школы в интересах работников.</w:t>
      </w:r>
    </w:p>
    <w:p>
      <w:pPr>
        <w:pStyle w:val="P10"/>
        <w:shd w:val="clear" w:fill="auto"/>
        <w:spacing w:lineRule="auto" w:line="240" w:before="0" w:after="0" w:beforeAutospacing="0" w:afterAutospacing="0"/>
        <w:ind w:firstLine="720" w:right="360"/>
        <w:rPr>
          <w:sz w:val="28"/>
        </w:rPr>
      </w:pPr>
      <w:r>
        <w:rPr>
          <w:sz w:val="28"/>
        </w:rPr>
        <w:t>Согласовываются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</w:t>
      </w:r>
    </w:p>
    <w:p>
      <w:pPr>
        <w:pStyle w:val="P10"/>
        <w:shd w:val="clear" w:fill="auto"/>
        <w:spacing w:lineRule="auto" w:line="240" w:before="0" w:after="0" w:beforeAutospacing="0" w:afterAutospacing="0"/>
        <w:ind w:firstLine="720" w:right="320"/>
        <w:rPr>
          <w:sz w:val="28"/>
        </w:rPr>
      </w:pPr>
      <w:r>
        <w:rPr>
          <w:sz w:val="28"/>
        </w:rPr>
        <w:t xml:space="preserve">Председатели </w:t>
      </w:r>
      <w:r>
        <w:rPr>
          <w:sz w:val="28"/>
        </w:rPr>
        <w:t xml:space="preserve">первичных </w:t>
      </w:r>
      <w:r>
        <w:rPr>
          <w:sz w:val="28"/>
        </w:rPr>
        <w:t xml:space="preserve">профсоюзных организаций ОО принимают участие в работе аттестационной комиссии по проведению аттестации рабочих мест по условиям труда,  в заседаниях комиссии по распределению стимулирующих выплат. Проводятся заседания профсоюзного комитета по вопросам выплаты материальной помощи членам профсоюза, проходит регистрация документов (заявлений о вступлении, о выплате материальной помощи и т.д.). </w:t>
      </w:r>
    </w:p>
    <w:p>
      <w:pPr>
        <w:pStyle w:val="P10"/>
        <w:shd w:val="clear" w:fill="auto"/>
        <w:spacing w:lineRule="auto" w:line="240" w:before="0" w:after="0" w:beforeAutospacing="0" w:afterAutospacing="0"/>
        <w:ind w:firstLine="720" w:right="320"/>
        <w:rPr>
          <w:sz w:val="28"/>
        </w:rPr>
      </w:pPr>
      <w:r>
        <w:rPr>
          <w:color w:val="000000"/>
          <w:sz w:val="28"/>
        </w:rPr>
        <w:t>При проведении аттестации педагогических работников, с целью подтверждения соответствия занимаемой должности, в состав аттестационной комиссии входит представитель выборного органа первичной профсоюзной организации.</w:t>
      </w:r>
    </w:p>
    <w:p>
      <w:pPr>
        <w:spacing w:lineRule="auto" w:line="240"/>
        <w:ind w:firstLine="708"/>
        <w:jc w:val="both"/>
        <w:rPr>
          <w:rFonts w:ascii="Times New Roman" w:hAnsi="Times New Roman"/>
          <w:b w:val="1"/>
          <w:color w:val="000000"/>
          <w:sz w:val="28"/>
          <w:shd w:val="clear" w:fill="FFFFFF"/>
        </w:rPr>
      </w:pPr>
      <w:r>
        <w:rPr>
          <w:rFonts w:ascii="Times New Roman" w:hAnsi="Times New Roman"/>
          <w:sz w:val="28"/>
        </w:rPr>
        <w:t>РТО Профсоюза принимала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учас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ие</w:t>
      </w:r>
      <w:r>
        <w:rPr>
          <w:rFonts w:ascii="Times New Roman" w:hAnsi="Times New Roman"/>
          <w:sz w:val="28"/>
        </w:rPr>
        <w:t xml:space="preserve"> в организации творческого профессионального конкурса  «Учитель года - 2020». Педагоги, члены профсоюза, принявшие участие в конкурсе получили</w:t>
      </w:r>
      <w:r>
        <w:rPr>
          <w:rFonts w:ascii="Times New Roman" w:hAnsi="Times New Roman"/>
          <w:sz w:val="28"/>
        </w:rPr>
        <w:t xml:space="preserve"> от председателя РТО</w:t>
      </w:r>
      <w:r>
        <w:rPr>
          <w:rFonts w:ascii="Times New Roman" w:hAnsi="Times New Roman"/>
          <w:sz w:val="28"/>
        </w:rPr>
        <w:t xml:space="preserve"> благодарности  и денежное вознаграждение</w:t>
      </w:r>
      <w:r>
        <w:rPr>
          <w:rFonts w:ascii="Times New Roman" w:hAnsi="Times New Roman"/>
          <w:sz w:val="28"/>
        </w:rPr>
        <w:t>.</w:t>
      </w:r>
    </w:p>
    <w:p>
      <w:pPr>
        <w:spacing w:after="0" w:beforeAutospacing="0" w:afterAutospacing="0"/>
        <w:jc w:val="center"/>
        <w:rPr>
          <w:rFonts w:ascii="Times New Roman" w:hAnsi="Times New Roman"/>
          <w:b w:val="1"/>
          <w:color w:val="000000"/>
          <w:sz w:val="28"/>
          <w:shd w:val="clear" w:fill="FFFFFF"/>
        </w:rPr>
      </w:pPr>
      <w:r>
        <w:rPr>
          <w:rFonts w:ascii="Times New Roman" w:hAnsi="Times New Roman"/>
          <w:b w:val="1"/>
          <w:color w:val="000000"/>
          <w:sz w:val="28"/>
          <w:shd w:val="clear" w:fill="FFFFFF"/>
        </w:rPr>
        <w:t>4. Работа с молодыми педагогами.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Приоритетным направлением в 2020 году была работа с молодыми педагогами. Проводились мероприятия, круглые столы, где принимали участие не только члены профсоюза, а все молодые педагоги образовательных организаций. Мероприятия СМП проводились в online-формате. Райком Профсоюза совместно </w:t>
      </w:r>
      <w:r>
        <w:rPr>
          <w:rFonts w:ascii="Times New Roman" w:hAnsi="Times New Roman"/>
          <w:color w:val="000000"/>
          <w:sz w:val="28"/>
          <w:shd w:val="clear" w:fill="FFFFFF"/>
        </w:rPr>
        <w:t>Советом молодых педагогов проводила активную работу в продвижении молодых педагогов и по популяризации молодежной политики в сфере образования.</w:t>
      </w:r>
      <w:r>
        <w:rPr>
          <w:rFonts w:ascii="Times New Roman" w:hAnsi="Times New Roman"/>
          <w:sz w:val="28"/>
        </w:rPr>
        <w:t xml:space="preserve"> Члены Совета молодых педагогов являются членами молодёжного парламента, принимают участие  в мероприятиях Кочёвского муниципального округа.</w:t>
      </w:r>
    </w:p>
    <w:p>
      <w:pPr>
        <w:pStyle w:val="P4"/>
        <w:spacing w:lineRule="auto" w:line="240" w:beforeAutospacing="0" w:afterAutospacing="0"/>
        <w:ind w:firstLine="708"/>
        <w:jc w:val="both"/>
        <w:rPr>
          <w:rFonts w:ascii="Times New Roman" w:hAnsi="Times New Roman"/>
          <w:color w:val="000000"/>
          <w:sz w:val="27"/>
          <w:shd w:val="clear" w:fill="FFFF00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В октябре, команда Совета молодых педагогов, приняла участие в муниципальной квест-игре для педагогов "Путь к Победе!", посвящён</w:t>
      </w:r>
      <w:r>
        <w:rPr>
          <w:rFonts w:ascii="Times New Roman" w:hAnsi="Times New Roman"/>
          <w:color w:val="000000"/>
          <w:sz w:val="28"/>
          <w:shd w:val="clear" w:fill="FFFFFF"/>
        </w:rPr>
        <w:t>ной</w:t>
      </w:r>
      <w:r>
        <w:rPr>
          <w:rFonts w:ascii="Times New Roman" w:hAnsi="Times New Roman"/>
          <w:color w:val="000000"/>
          <w:sz w:val="28"/>
          <w:shd w:val="clear" w:fill="FFFFFF"/>
        </w:rPr>
        <w:t xml:space="preserve"> Дню Учителя. проводилась в дистанционном формате на площадке </w:t>
      </w:r>
      <w:r>
        <w:rPr>
          <w:rFonts w:ascii="Times New Roman" w:hAnsi="Times New Roman"/>
          <w:color w:val="000000"/>
          <w:sz w:val="28"/>
          <w:shd w:val="clear" w:fill="FFFFFF"/>
        </w:rPr>
        <w:t>Mirapolis. Заняла призовое II место</w:t>
      </w:r>
      <w:r>
        <w:rPr>
          <w:rFonts w:ascii="Times New Roman" w:hAnsi="Times New Roman"/>
          <w:color w:val="000000"/>
          <w:sz w:val="27"/>
          <w:shd w:val="clear" w:fill="FFFFFF"/>
        </w:rPr>
        <w:t>. </w:t>
      </w:r>
      <w:r>
        <w:rPr>
          <w:rFonts w:ascii="Times New Roman" w:hAnsi="Times New Roman"/>
          <w:color w:val="000000"/>
          <w:sz w:val="27"/>
          <w:shd w:val="clear" w:fill="FFFF00"/>
        </w:rPr>
        <w:t xml:space="preserve"> </w:t>
      </w:r>
      <w:r>
        <w:drawing>
          <wp:inline xmlns:wp="http://schemas.openxmlformats.org/drawingml/2006/wordprocessingDrawing">
            <wp:extent cx="2143125" cy="160972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609725"/>
                    </a:xfrm>
                    <a:prstGeom prst="rect"/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>
      <w:pPr>
        <w:pStyle w:val="P4"/>
        <w:ind w:firstLine="708" w:left="0"/>
        <w:jc w:val="both"/>
        <w:rPr>
          <w:rFonts w:ascii="Times New Roman" w:hAnsi="Times New Roman"/>
          <w:color w:val="000000"/>
          <w:sz w:val="28"/>
          <w:shd w:val="clear" w:fill="FFFF00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 xml:space="preserve">В ноябре, члены Совета молодых педагогов собирались 2 раза  на увлекательную интеллектуальную игру  "Мозгобойня".</w:t>
      </w:r>
    </w:p>
    <w:p>
      <w:pPr>
        <w:pStyle w:val="P4"/>
        <w:ind w:firstLine="709"/>
        <w:jc w:val="both"/>
      </w:pPr>
      <w:r>
        <w:drawing>
          <wp:inline xmlns:wp="http://schemas.openxmlformats.org/drawingml/2006/wordprocessingDrawing">
            <wp:extent cx="3314700" cy="149542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495425"/>
                    </a:xfrm>
                    <a:prstGeom prst="rect"/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>
      <w:pPr>
        <w:pStyle w:val="P4"/>
        <w:ind w:firstLine="709"/>
        <w:jc w:val="both"/>
        <w:rPr>
          <w:rFonts w:ascii="Times New Roman" w:hAnsi="Times New Roman"/>
          <w:sz w:val="28"/>
          <w:shd w:val="clear" w:fill="FFFF00"/>
        </w:rPr>
      </w:pPr>
    </w:p>
    <w:p>
      <w:pPr>
        <w:spacing w:lineRule="auto" w:line="24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 xml:space="preserve"> В режиме онлайн прошла встреча с заместителем председателя краевой организации Профсоюза</w:t>
      </w:r>
      <w:r>
        <w:rPr>
          <w:rFonts w:ascii="Times New Roman" w:hAnsi="Times New Roman"/>
          <w:color w:val="000000"/>
          <w:sz w:val="28"/>
          <w:shd w:val="clear" w:fill="FFFFFF"/>
        </w:rPr>
        <w:t xml:space="preserve"> </w:t>
      </w:r>
      <w:r>
        <w:rPr>
          <w:rFonts w:ascii="Times New Roman" w:hAnsi="Times New Roman"/>
          <w:color w:val="000000"/>
          <w:sz w:val="28"/>
          <w:shd w:val="clear" w:fill="FFFFFF"/>
        </w:rPr>
        <w:t> 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Натальей Монзиной.</w:t>
      </w:r>
      <w:r>
        <w:rPr>
          <w:rFonts w:ascii="Times New Roman" w:hAnsi="Times New Roman"/>
          <w:color w:val="000000"/>
          <w:sz w:val="28"/>
          <w:shd w:val="clear" w:fill="FFFFFF"/>
        </w:rPr>
        <w:t xml:space="preserve"> Завершение - интеллектуальная игра "Мозгобойня".</w:t>
      </w:r>
      <w:r>
        <w:rPr>
          <w:rFonts w:ascii="Times New Roman" w:hAnsi="Times New Roman"/>
          <w:color w:val="000000"/>
          <w:sz w:val="28"/>
          <w:shd w:val="clear" w:fill="FFFFFF"/>
        </w:rPr>
        <w:t xml:space="preserve"> Победители получили грамоту.</w:t>
      </w:r>
    </w:p>
    <w:p>
      <w:r>
        <w:drawing>
          <wp:inline xmlns:wp="http://schemas.openxmlformats.org/drawingml/2006/wordprocessingDrawing">
            <wp:extent cx="3048000" cy="228600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657350" cy="22098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2098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/>
        <w:jc w:val="both"/>
        <w:rPr>
          <w:rFonts w:ascii="Times New Roman" w:hAnsi="Times New Roman"/>
          <w:b w:val="1"/>
          <w:sz w:val="28"/>
        </w:rPr>
      </w:pPr>
      <w:r>
        <w:t xml:space="preserve"> </w:t>
        <w:tab/>
      </w:r>
      <w:r>
        <w:rPr>
          <w:rFonts w:ascii="Times New Roman" w:hAnsi="Times New Roman"/>
          <w:sz w:val="28"/>
        </w:rPr>
        <w:t xml:space="preserve">Молодые педагоги принимают участие  в мероприятиях, проводимых краевой организацией профсоюза. Две команды молодых педагогов (10 человек) приняли участие в IV Зимней экспедиционной школе молодых педагогов в формате online - школы видеоблогеров «Пермский край в объективе молодых педагогов: путешествуем вместе». Обе команды заняли призовые места, получили денежный приз. Одна команда -10000, другая - 5000 рублей.</w:t>
      </w:r>
    </w:p>
    <w:p>
      <w:pPr>
        <w:pStyle w:val="P10"/>
        <w:shd w:val="clear" w:fill="auto"/>
        <w:spacing w:lineRule="auto" w:line="276" w:before="0" w:after="0" w:beforeAutospacing="0" w:afterAutospacing="0"/>
        <w:ind w:firstLine="720" w:right="320"/>
        <w:jc w:val="center"/>
        <w:rPr>
          <w:b w:val="1"/>
          <w:sz w:val="28"/>
        </w:rPr>
      </w:pPr>
      <w:r>
        <w:rPr>
          <w:b w:val="1"/>
          <w:sz w:val="28"/>
        </w:rPr>
        <w:t>6. Информационная работа.</w:t>
      </w:r>
    </w:p>
    <w:p>
      <w:pPr>
        <w:pStyle w:val="P10"/>
        <w:widowControl w:val="0"/>
        <w:shd w:val="clear" w:fill="auto"/>
        <w:spacing w:lineRule="auto" w:line="240" w:before="0" w:after="0" w:beforeAutospacing="0" w:afterAutospacing="0"/>
        <w:ind w:firstLine="720" w:right="320"/>
        <w:rPr>
          <w:sz w:val="28"/>
        </w:rPr>
      </w:pPr>
      <w:r>
        <w:rPr>
          <w:sz w:val="28"/>
        </w:rPr>
        <w:t>В 2020 году большую активность получила работа через соцсети.</w:t>
      </w:r>
    </w:p>
    <w:p>
      <w:pPr>
        <w:pStyle w:val="P10"/>
        <w:shd w:val="clear" w:fill="auto"/>
        <w:spacing w:lineRule="auto" w:line="240" w:before="0" w:after="0" w:beforeAutospacing="0" w:afterAutospacing="0"/>
        <w:ind w:hanging="0" w:left="0" w:right="320"/>
        <w:rPr>
          <w:sz w:val="28"/>
        </w:rPr>
      </w:pPr>
      <w:r>
        <w:rPr>
          <w:sz w:val="28"/>
        </w:rPr>
        <w:t xml:space="preserve">В Контакте активно работает группа «Совет молодых педагогов Кочёвского района». Здесь педагоги узнают о новостях муниципального округа и края. </w:t>
      </w:r>
    </w:p>
    <w:p>
      <w:pPr>
        <w:pStyle w:val="P10"/>
        <w:shd w:val="clear" w:fill="auto"/>
        <w:spacing w:lineRule="auto" w:line="240" w:before="0" w:after="0" w:beforeAutospacing="0" w:afterAutospacing="0"/>
        <w:ind w:firstLine="720" w:right="320"/>
        <w:rPr>
          <w:sz w:val="28"/>
        </w:rPr>
      </w:pPr>
      <w:r>
        <w:rPr>
          <w:sz w:val="28"/>
        </w:rPr>
        <w:t>Также используются традиционные способы информирования (собрания, личные встречи, индивидуальные</w:t>
      </w:r>
      <w:r>
        <w:rPr>
          <w:sz w:val="28"/>
        </w:rPr>
        <w:t xml:space="preserve"> консультации </w:t>
      </w:r>
      <w:r>
        <w:rPr>
          <w:sz w:val="28"/>
        </w:rPr>
        <w:t xml:space="preserve">с </w:t>
      </w:r>
      <w:r>
        <w:rPr>
          <w:sz w:val="28"/>
        </w:rPr>
        <w:t>член</w:t>
      </w:r>
      <w:r>
        <w:rPr>
          <w:sz w:val="28"/>
        </w:rPr>
        <w:t>ами</w:t>
      </w:r>
      <w:r>
        <w:rPr>
          <w:sz w:val="28"/>
        </w:rPr>
        <w:t xml:space="preserve"> профсоюза, президиумы, семинары – совещания). Проводится работа по освещению деятельности Профсоюза через наглядную агитацию (стенды), по сохранению профсоюзного членства и вовлечению в Профсоюз новых членов. Через информационные стенды педагоги и работники О</w:t>
      </w:r>
      <w:r>
        <w:rPr>
          <w:sz w:val="28"/>
        </w:rPr>
        <w:t>О</w:t>
      </w:r>
      <w:r>
        <w:rPr>
          <w:sz w:val="28"/>
        </w:rPr>
        <w:t xml:space="preserve"> знакомятся с деятельностью профсоюзной организации. </w:t>
      </w:r>
      <w:r>
        <w:rPr>
          <w:sz w:val="28"/>
        </w:rPr>
        <w:t>Работает электронная рассылка</w:t>
      </w:r>
      <w:r>
        <w:rPr>
          <w:sz w:val="28"/>
        </w:rPr>
        <w:t>.</w:t>
      </w:r>
    </w:p>
    <w:p>
      <w:pPr>
        <w:pStyle w:val="P10"/>
        <w:shd w:val="clear" w:fill="auto"/>
        <w:spacing w:lineRule="auto" w:line="240" w:before="0" w:after="0" w:beforeAutospacing="0" w:afterAutospacing="0"/>
        <w:ind w:firstLine="720" w:right="320"/>
        <w:jc w:val="both"/>
        <w:rPr>
          <w:sz w:val="28"/>
        </w:rPr>
      </w:pPr>
      <w:r>
        <w:rPr>
          <w:sz w:val="28"/>
        </w:rPr>
        <w:t>У краевой организации Профсоюза оперативно отправляются информационные сборники – отчеты о каждом дне работы, а также информационные листки</w:t>
      </w:r>
      <w:r>
        <w:rPr>
          <w:sz w:val="28"/>
        </w:rPr>
        <w:t>.</w:t>
      </w:r>
    </w:p>
    <w:p>
      <w:pPr>
        <w:pStyle w:val="P7"/>
        <w:spacing w:lineRule="auto" w:line="240" w:before="9" w:beforeAutospacing="0" w:afterAutospacing="0"/>
        <w:ind w:left="19" w:right="34"/>
        <w:jc w:val="both"/>
        <w:rPr>
          <w:sz w:val="28"/>
        </w:rPr>
      </w:pPr>
      <w:r>
        <w:rPr>
          <w:sz w:val="28"/>
        </w:rPr>
        <w:t>Ежегодно для всех первичных профсоюзных организаций выписывается газета «Профсоюзный курьер».</w:t>
      </w:r>
    </w:p>
    <w:p>
      <w:pPr>
        <w:pStyle w:val="P4"/>
        <w:spacing w:lineRule="auto" w:line="276" w:beforeAutospacing="0" w:afterAutospacing="0"/>
        <w:jc w:val="center"/>
        <w:rPr>
          <w:rFonts w:ascii="Times New Roman" w:hAnsi="Times New Roman"/>
          <w:sz w:val="28"/>
        </w:rPr>
      </w:pPr>
      <w:r>
        <w:rPr>
          <w:rStyle w:val="C4"/>
          <w:rFonts w:ascii="Times New Roman" w:hAnsi="Times New Roman"/>
          <w:color w:val="333333"/>
          <w:sz w:val="28"/>
        </w:rPr>
        <w:t>7. Охрана труда.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уровне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проводится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работа по охране труда, направления изложены в коллективных договорах и в Соглашении по охране труда. В каждой образовательной организации созданы  совместные комиссии по охране труда, куда входят представители от первичной профсоюзной организации и от работодателя. Во всех организациях проведена специальная оценка условий труда, аттестация рабочих мест.</w:t>
      </w: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8. Заключение</w:t>
      </w:r>
    </w:p>
    <w:p>
      <w:pPr>
        <w:pStyle w:val="P7"/>
        <w:spacing w:lineRule="auto" w:line="240" w:before="9" w:beforeAutospacing="0" w:afterAutospacing="0"/>
        <w:ind w:firstLine="708" w:right="34"/>
        <w:jc w:val="both"/>
        <w:rPr>
          <w:sz w:val="28"/>
        </w:rPr>
      </w:pPr>
      <w:r>
        <w:rPr>
          <w:sz w:val="28"/>
        </w:rPr>
        <w:t xml:space="preserve">В план на 2021 год  включены  вопросы по расширению и укреплению членства  в профсоюзе. Приоритетн</w:t>
      </w:r>
      <w:r>
        <w:rPr>
          <w:sz w:val="28"/>
        </w:rPr>
        <w:t>ое</w:t>
      </w:r>
      <w:r>
        <w:rPr>
          <w:sz w:val="28"/>
        </w:rPr>
        <w:t xml:space="preserve"> направление</w:t>
      </w:r>
      <w:r>
        <w:rPr>
          <w:sz w:val="28"/>
        </w:rPr>
        <w:t xml:space="preserve"> -</w:t>
      </w:r>
      <w:r>
        <w:rPr>
          <w:sz w:val="28"/>
        </w:rPr>
        <w:t xml:space="preserve"> </w:t>
      </w:r>
      <w:r>
        <w:rPr>
          <w:sz w:val="28"/>
        </w:rPr>
        <w:t xml:space="preserve">работа с молодыми педагогами </w:t>
      </w:r>
      <w:r>
        <w:rPr>
          <w:sz w:val="28"/>
        </w:rPr>
        <w:t>муниципального округа</w:t>
      </w:r>
      <w:r>
        <w:rPr>
          <w:sz w:val="28"/>
        </w:rPr>
        <w:t>.</w:t>
      </w:r>
    </w:p>
    <w:p>
      <w:pPr>
        <w:pStyle w:val="P7"/>
        <w:spacing w:lineRule="auto" w:line="240" w:beforeAutospacing="0" w:afterAutospacing="0"/>
        <w:ind w:firstLine="694" w:left="14" w:right="34"/>
        <w:jc w:val="both"/>
        <w:rPr>
          <w:sz w:val="28"/>
        </w:rPr>
      </w:pPr>
      <w:r>
        <w:rPr>
          <w:sz w:val="28"/>
        </w:rPr>
        <w:t xml:space="preserve">Профсоюзному комитету предстоит работать над отмеченными проблемами, постараться еще активнее заявить о себе, о роли профсоюзной организации в жизни коллектива. Главными направлениями в этой работе остаются: защита прав и интересов работников </w:t>
      </w:r>
      <w:r>
        <w:rPr>
          <w:sz w:val="28"/>
        </w:rPr>
        <w:t>образования,</w:t>
      </w:r>
      <w:r>
        <w:rPr>
          <w:sz w:val="28"/>
        </w:rPr>
        <w:t xml:space="preserve"> соблюдение законности, повышение ответственности за результаты своего личного труда и работы коллектива в целом.</w:t>
      </w: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7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Задачи </w:t>
      </w:r>
      <w:r>
        <w:rPr>
          <w:rFonts w:ascii="Times New Roman" w:hAnsi="Times New Roman"/>
          <w:b w:val="1"/>
          <w:sz w:val="28"/>
        </w:rPr>
        <w:t>на будущий год</w:t>
      </w:r>
    </w:p>
    <w:p>
      <w:pPr>
        <w:spacing w:lineRule="auto" w:line="240" w:after="0"/>
        <w:ind w:firstLine="1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 </w:t>
      </w:r>
      <w:r>
        <w:rPr>
          <w:rFonts w:ascii="Times New Roman" w:hAnsi="Times New Roman"/>
          <w:color w:val="000000"/>
          <w:sz w:val="28"/>
        </w:rPr>
        <w:t>Вовлечь молодых педагогов в работу профсоюзных организаций;</w:t>
      </w:r>
      <w:r>
        <w:rPr>
          <w:rFonts w:ascii="Times New Roman" w:hAnsi="Times New Roman"/>
          <w:sz w:val="28"/>
        </w:rPr>
        <w:t xml:space="preserve">  </w:t>
      </w:r>
    </w:p>
    <w:p>
      <w:pPr>
        <w:spacing w:lineRule="auto" w:line="240" w:after="0" w:beforeAutospacing="0" w:afterAutospacing="0"/>
        <w:ind w:firstLine="1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овысить численность членов профсоюза;</w:t>
      </w:r>
    </w:p>
    <w:p>
      <w:pPr>
        <w:spacing w:lineRule="auto" w:line="240" w:after="0" w:beforeAutospacing="0" w:afterAutospacing="0"/>
        <w:ind w:firstLine="1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sz w:val="28"/>
        </w:rPr>
        <w:t>Повысить уровень жизни членов профсоюза, работников образования;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Продолжить работу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АИС</w:t>
      </w:r>
      <w:r>
        <w:rPr>
          <w:rFonts w:ascii="Times New Roman" w:hAnsi="Times New Roman"/>
          <w:sz w:val="28"/>
        </w:rPr>
        <w:t>;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Продолжить процесс заключения коллективных договоров в образовательных организациях Кочевского муниципального округа.</w:t>
      </w:r>
    </w:p>
    <w:p>
      <w:pPr>
        <w:pStyle w:val="P3"/>
        <w:spacing w:lineRule="auto" w:line="240" w:beforeAutospacing="0" w:afterAutospacing="0"/>
        <w:ind w:firstLine="709" w:left="0"/>
        <w:jc w:val="both"/>
        <w:rPr>
          <w:rFonts w:ascii="Times New Roman" w:hAnsi="Times New Roman"/>
          <w:sz w:val="28"/>
        </w:rPr>
      </w:pPr>
    </w:p>
    <w:p>
      <w:pPr>
        <w:pStyle w:val="P3"/>
        <w:spacing w:lineRule="auto" w:line="360" w:beforeAutospacing="0" w:afterAutospacing="0"/>
        <w:ind w:firstLine="709" w:left="0"/>
        <w:jc w:val="both"/>
        <w:rPr>
          <w:rFonts w:ascii="Times New Roman" w:hAnsi="Times New Roman"/>
          <w:sz w:val="28"/>
        </w:rPr>
      </w:pPr>
    </w:p>
    <w:p>
      <w:pPr>
        <w:pStyle w:val="P3"/>
        <w:spacing w:lineRule="auto" w:line="360" w:beforeAutospacing="0" w:afterAutospacing="0"/>
        <w:ind w:firstLine="709" w:left="0"/>
        <w:jc w:val="both"/>
        <w:rPr>
          <w:rFonts w:ascii="Times New Roman" w:hAnsi="Times New Roman"/>
          <w:sz w:val="28"/>
        </w:rPr>
      </w:pPr>
    </w:p>
    <w:p/>
    <w:p/>
    <w:p>
      <w:pPr>
        <w:spacing w:lineRule="auto" w:line="360" w:after="0" w:beforeAutospacing="0" w:afterAutospacing="0"/>
        <w:ind w:firstLine="709"/>
        <w:jc w:val="center"/>
        <w:rPr>
          <w:rFonts w:ascii="Times New Roman" w:hAnsi="Times New Roman"/>
          <w:b w:val="1"/>
          <w:sz w:val="28"/>
        </w:rPr>
      </w:pPr>
    </w:p>
    <w:p/>
    <w:p>
      <w:pPr>
        <w:pStyle w:val="P3"/>
        <w:spacing w:lineRule="auto" w:line="360" w:beforeAutospacing="0" w:afterAutospacing="0"/>
        <w:ind w:left="1170"/>
        <w:jc w:val="both"/>
        <w:rPr>
          <w:rFonts w:ascii="Times New Roman" w:hAnsi="Times New Roman"/>
          <w:sz w:val="28"/>
        </w:rPr>
      </w:pPr>
    </w:p>
    <w:p>
      <w:pPr>
        <w:jc w:val="center"/>
        <w:rPr>
          <w:rFonts w:ascii="Times New Roman" w:hAnsi="Times New Roman"/>
          <w:b w:val="1"/>
          <w:sz w:val="28"/>
        </w:rPr>
      </w:pPr>
    </w:p>
    <w:p>
      <w:pPr>
        <w:rPr>
          <w:rFonts w:ascii="Times New Roman" w:hAnsi="Times New Roman"/>
        </w:rPr>
      </w:pPr>
    </w:p>
    <w:sectPr>
      <w:type w:val="nextPage"/>
      <w:pgSz w:w="11906" w:h="16838" w:code="9"/>
      <w:pgMar w:left="1701" w:right="850" w:top="993" w:bottom="851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F904B4D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86"/>
        <w:tabs>
          <w:tab w:val="left" w:pos="786" w:leader="none"/>
        </w:tabs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506"/>
        <w:tabs>
          <w:tab w:val="left" w:pos="1506" w:leader="none"/>
        </w:tabs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226"/>
        <w:tabs>
          <w:tab w:val="left" w:pos="2226" w:leader="none"/>
        </w:tabs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946"/>
        <w:tabs>
          <w:tab w:val="left" w:pos="2946" w:leader="none"/>
        </w:tabs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66"/>
        <w:tabs>
          <w:tab w:val="left" w:pos="3666" w:leader="none"/>
        </w:tabs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86"/>
        <w:tabs>
          <w:tab w:val="left" w:pos="4386" w:leader="none"/>
        </w:tabs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106"/>
        <w:tabs>
          <w:tab w:val="left" w:pos="5106" w:leader="none"/>
        </w:tabs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826"/>
        <w:tabs>
          <w:tab w:val="left" w:pos="5826" w:leader="none"/>
        </w:tabs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546"/>
        <w:tabs>
          <w:tab w:val="left" w:pos="6546" w:leader="none"/>
        </w:tabs>
      </w:pPr>
      <w:rPr>
        <w:rFonts w:ascii="Wingdings" w:hAnsi="Wingdings"/>
      </w:rPr>
    </w:lvl>
  </w:abstractNum>
  <w:abstractNum w:abstractNumId="1">
    <w:nsid w:val="18DF55A4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644"/>
        <w:tabs>
          <w:tab w:val="left" w:pos="644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364"/>
        <w:tabs>
          <w:tab w:val="left" w:pos="1364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084"/>
        <w:tabs>
          <w:tab w:val="left" w:pos="2084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04"/>
        <w:tabs>
          <w:tab w:val="left" w:pos="2804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524"/>
        <w:tabs>
          <w:tab w:val="left" w:pos="3524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244"/>
        <w:tabs>
          <w:tab w:val="left" w:pos="4244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4964"/>
        <w:tabs>
          <w:tab w:val="left" w:pos="4964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684"/>
        <w:tabs>
          <w:tab w:val="left" w:pos="5684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04"/>
        <w:tabs>
          <w:tab w:val="left" w:pos="6404" w:leader="none"/>
        </w:tabs>
      </w:pPr>
      <w:rPr/>
    </w:lvl>
  </w:abstractNum>
  <w:abstractNum w:abstractNumId="2">
    <w:nsid w:val="1AA6031F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1BCE705E"/>
    <w:multiLevelType w:val="hybridMultilevel"/>
    <w:lvl w:ilvl="0" w:tplc="041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nsid w:val="1BE96B3A"/>
    <w:multiLevelType w:val="hybridMultilevel"/>
    <w:lvl w:ilvl="0" w:tplc="BF5E06A8">
      <w:start w:val="1"/>
      <w:numFmt w:val="decimal"/>
      <w:suff w:val="tab"/>
      <w:lvlText w:val="%1."/>
      <w:lvlJc w:val="left"/>
      <w:pPr>
        <w:ind w:hanging="360" w:left="54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26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198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70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42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14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486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58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300"/>
      </w:pPr>
      <w:rPr/>
    </w:lvl>
  </w:abstractNum>
  <w:abstractNum w:abstractNumId="5">
    <w:nsid w:val="1C9B11A7"/>
    <w:multiLevelType w:val="hybridMultilevel"/>
    <w:lvl w:ilvl="0" w:tplc="E1923ED4">
      <w:start w:val="1"/>
      <w:numFmt w:val="bullet"/>
      <w:suff w:val="tab"/>
      <w:lvlText w:val=""/>
      <w:lvlJc w:val="left"/>
      <w:pPr>
        <w:ind w:hanging="360" w:left="72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">
    <w:nsid w:val="1CAC1F45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">
    <w:nsid w:val="21C11A63"/>
    <w:multiLevelType w:val="hybridMultilevel"/>
    <w:lvl w:ilvl="0" w:tplc="0419000D">
      <w:start w:val="1"/>
      <w:numFmt w:val="bullet"/>
      <w:suff w:val="tab"/>
      <w:lvlText w:val="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2E1E7BC1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38B12FCE"/>
    <w:multiLevelType w:val="hybridMultilevel"/>
    <w:lvl w:ilvl="0" w:tplc="F0A6CF76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38CB1352"/>
    <w:multiLevelType w:val="multilevel"/>
    <w:lvl w:ilvl="0">
      <w:start w:val="1"/>
      <w:numFmt w:val="decimal"/>
      <w:suff w:val="tab"/>
      <w:lvlText w:val="%1."/>
      <w:lvlJc w:val="left"/>
      <w:pPr>
        <w:ind w:hanging="360" w:left="705"/>
      </w:pPr>
      <w:rPr/>
    </w:lvl>
    <w:lvl w:ilvl="1">
      <w:start w:val="1"/>
      <w:numFmt w:val="decimal"/>
      <w:isLgl w:val="1"/>
      <w:suff w:val="tab"/>
      <w:lvlText w:val="%1.%2"/>
      <w:lvlJc w:val="left"/>
      <w:pPr>
        <w:ind w:hanging="450" w:left="1519"/>
      </w:pPr>
      <w:rPr/>
    </w:lvl>
    <w:lvl w:ilvl="2">
      <w:start w:val="1"/>
      <w:numFmt w:val="decimal"/>
      <w:isLgl w:val="1"/>
      <w:suff w:val="tab"/>
      <w:lvlText w:val="%1.%2.%3"/>
      <w:lvlJc w:val="left"/>
      <w:pPr>
        <w:ind w:hanging="720" w:left="2513"/>
      </w:pPr>
      <w:rPr/>
    </w:lvl>
    <w:lvl w:ilvl="3">
      <w:start w:val="1"/>
      <w:numFmt w:val="decimal"/>
      <w:isLgl w:val="1"/>
      <w:suff w:val="tab"/>
      <w:lvlText w:val="%1.%2.%3.%4"/>
      <w:lvlJc w:val="left"/>
      <w:pPr>
        <w:ind w:hanging="1080" w:left="3597"/>
      </w:pPr>
      <w:rPr/>
    </w:lvl>
    <w:lvl w:ilvl="4">
      <w:start w:val="1"/>
      <w:numFmt w:val="decimal"/>
      <w:isLgl w:val="1"/>
      <w:suff w:val="tab"/>
      <w:lvlText w:val="%1.%2.%3.%4.%5"/>
      <w:lvlJc w:val="left"/>
      <w:pPr>
        <w:ind w:hanging="1080" w:left="4321"/>
      </w:pPr>
      <w:rPr/>
    </w:lvl>
    <w:lvl w:ilvl="5">
      <w:start w:val="1"/>
      <w:numFmt w:val="decimal"/>
      <w:isLgl w:val="1"/>
      <w:suff w:val="tab"/>
      <w:lvlText w:val="%1.%2.%3.%4.%5.%6"/>
      <w:lvlJc w:val="left"/>
      <w:pPr>
        <w:ind w:hanging="1440" w:left="5405"/>
      </w:pPr>
      <w:rPr/>
    </w:lvl>
    <w:lvl w:ilvl="6">
      <w:start w:val="1"/>
      <w:numFmt w:val="decimal"/>
      <w:isLgl w:val="1"/>
      <w:suff w:val="tab"/>
      <w:lvlText w:val="%1.%2.%3.%4.%5.%6.%7"/>
      <w:lvlJc w:val="left"/>
      <w:pPr>
        <w:ind w:hanging="1440" w:left="6129"/>
      </w:pPr>
      <w:rPr/>
    </w:lvl>
    <w:lvl w:ilvl="7">
      <w:start w:val="1"/>
      <w:numFmt w:val="decimal"/>
      <w:isLgl w:val="1"/>
      <w:suff w:val="tab"/>
      <w:lvlText w:val="%1.%2.%3.%4.%5.%6.%7.%8"/>
      <w:lvlJc w:val="left"/>
      <w:pPr>
        <w:ind w:hanging="1800" w:left="7213"/>
      </w:pPr>
      <w:rPr/>
    </w:lvl>
    <w:lvl w:ilvl="8">
      <w:start w:val="1"/>
      <w:numFmt w:val="decimal"/>
      <w:isLgl w:val="1"/>
      <w:suff w:val="tab"/>
      <w:lvlText w:val="%1.%2.%3.%4.%5.%6.%7.%8.%9"/>
      <w:lvlJc w:val="left"/>
      <w:pPr>
        <w:ind w:hanging="2160" w:left="8297"/>
      </w:pPr>
      <w:rPr/>
    </w:lvl>
  </w:abstractNum>
  <w:abstractNum w:abstractNumId="11">
    <w:nsid w:val="3D8E229D"/>
    <w:multiLevelType w:val="hybridMultilevel"/>
    <w:lvl w:ilvl="0" w:tplc="0419000D">
      <w:start w:val="1"/>
      <w:numFmt w:val="bullet"/>
      <w:suff w:val="tab"/>
      <w:lvlText w:val=""/>
      <w:lvlJc w:val="left"/>
      <w:pPr>
        <w:ind w:hanging="360" w:left="900"/>
        <w:tabs>
          <w:tab w:val="left" w:pos="900" w:leader="none"/>
        </w:tabs>
      </w:pPr>
      <w:rPr>
        <w:rFonts w:ascii="Wingdings" w:hAnsi="Wingdings"/>
      </w:rPr>
    </w:lvl>
    <w:lvl w:ilvl="1" w:tplc="04190003">
      <w:start w:val="1"/>
      <w:numFmt w:val="bullet"/>
      <w:suff w:val="tab"/>
      <w:lvlText w:val="o"/>
      <w:lvlJc w:val="left"/>
      <w:pPr>
        <w:ind w:hanging="360" w:left="1620"/>
        <w:tabs>
          <w:tab w:val="left" w:pos="1620" w:leader="none"/>
        </w:tabs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340"/>
        <w:tabs>
          <w:tab w:val="left" w:pos="2340" w:leader="none"/>
        </w:tabs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3060"/>
        <w:tabs>
          <w:tab w:val="left" w:pos="3060" w:leader="none"/>
        </w:tabs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780"/>
        <w:tabs>
          <w:tab w:val="left" w:pos="3780" w:leader="none"/>
        </w:tabs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500"/>
        <w:tabs>
          <w:tab w:val="left" w:pos="4500" w:leader="none"/>
        </w:tabs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220"/>
        <w:tabs>
          <w:tab w:val="left" w:pos="5220" w:leader="none"/>
        </w:tabs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940"/>
        <w:tabs>
          <w:tab w:val="left" w:pos="5940" w:leader="none"/>
        </w:tabs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660"/>
        <w:tabs>
          <w:tab w:val="left" w:pos="6660" w:leader="none"/>
        </w:tabs>
      </w:pPr>
      <w:rPr>
        <w:rFonts w:ascii="Wingdings" w:hAnsi="Wingdings"/>
      </w:rPr>
    </w:lvl>
  </w:abstractNum>
  <w:abstractNum w:abstractNumId="12">
    <w:nsid w:val="3F26467B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4AFB3C83"/>
    <w:multiLevelType w:val="hybridMultilevel"/>
    <w:lvl w:ilvl="0" w:tplc="0419000D">
      <w:start w:val="1"/>
      <w:numFmt w:val="bullet"/>
      <w:suff w:val="tab"/>
      <w:lvlText w:val="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5D1A02C6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5">
    <w:nsid w:val="638237B2"/>
    <w:multiLevelType w:val="hybridMultilevel"/>
    <w:lvl w:ilvl="0" w:tplc="0419000D">
      <w:start w:val="1"/>
      <w:numFmt w:val="bullet"/>
      <w:suff w:val="tab"/>
      <w:lvlText w:val="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6">
    <w:nsid w:val="63D93B76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644"/>
        <w:tabs>
          <w:tab w:val="left" w:pos="644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364"/>
        <w:tabs>
          <w:tab w:val="left" w:pos="1364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084"/>
        <w:tabs>
          <w:tab w:val="left" w:pos="2084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04"/>
        <w:tabs>
          <w:tab w:val="left" w:pos="2804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524"/>
        <w:tabs>
          <w:tab w:val="left" w:pos="3524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244"/>
        <w:tabs>
          <w:tab w:val="left" w:pos="4244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4964"/>
        <w:tabs>
          <w:tab w:val="left" w:pos="4964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684"/>
        <w:tabs>
          <w:tab w:val="left" w:pos="5684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04"/>
        <w:tabs>
          <w:tab w:val="left" w:pos="6404" w:leader="none"/>
        </w:tabs>
      </w:pPr>
      <w:rPr/>
    </w:lvl>
  </w:abstractNum>
  <w:abstractNum w:abstractNumId="17">
    <w:nsid w:val="6CFB22EB"/>
    <w:multiLevelType w:val="hybridMultilevel"/>
    <w:lvl w:ilvl="0" w:tplc="0419000F">
      <w:start w:val="8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8">
    <w:nsid w:val="71B914DD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decimal"/>
      <w:isLgl w:val="1"/>
      <w:suff w:val="tab"/>
      <w:lvlText w:val="%2."/>
      <w:lvlJc w:val="left"/>
      <w:pPr>
        <w:ind w:hanging="450" w:left="1170"/>
      </w:pPr>
      <w:rPr>
        <w:rFonts w:ascii="Times New Roman" w:hAnsi="Times New Roman"/>
      </w:rPr>
    </w:lvl>
    <w:lvl w:ilvl="2">
      <w:start w:val="1"/>
      <w:numFmt w:val="decimal"/>
      <w:isLgl w:val="1"/>
      <w:suff w:val="tab"/>
      <w:lvlText w:val="%1.%2.%3"/>
      <w:lvlJc w:val="left"/>
      <w:pPr>
        <w:ind w:hanging="720" w:left="1800"/>
      </w:pPr>
      <w:rPr/>
    </w:lvl>
    <w:lvl w:ilvl="3">
      <w:start w:val="1"/>
      <w:numFmt w:val="decimal"/>
      <w:isLgl w:val="1"/>
      <w:suff w:val="tab"/>
      <w:lvlText w:val="%1.%2.%3.%4"/>
      <w:lvlJc w:val="left"/>
      <w:pPr>
        <w:ind w:hanging="1080" w:left="2520"/>
      </w:pPr>
      <w:rPr/>
    </w:lvl>
    <w:lvl w:ilvl="4">
      <w:start w:val="1"/>
      <w:numFmt w:val="decimal"/>
      <w:isLgl w:val="1"/>
      <w:suff w:val="tab"/>
      <w:lvlText w:val="%1.%2.%3.%4.%5"/>
      <w:lvlJc w:val="left"/>
      <w:pPr>
        <w:ind w:hanging="1080" w:left="2880"/>
      </w:pPr>
      <w:rPr/>
    </w:lvl>
    <w:lvl w:ilvl="5">
      <w:start w:val="1"/>
      <w:numFmt w:val="decimal"/>
      <w:isLgl w:val="1"/>
      <w:suff w:val="tab"/>
      <w:lvlText w:val="%1.%2.%3.%4.%5.%6"/>
      <w:lvlJc w:val="left"/>
      <w:pPr>
        <w:ind w:hanging="1440" w:left="3600"/>
      </w:pPr>
      <w:rPr/>
    </w:lvl>
    <w:lvl w:ilvl="6">
      <w:start w:val="1"/>
      <w:numFmt w:val="decimal"/>
      <w:isLgl w:val="1"/>
      <w:suff w:val="tab"/>
      <w:lvlText w:val="%1.%2.%3.%4.%5.%6.%7"/>
      <w:lvlJc w:val="left"/>
      <w:pPr>
        <w:ind w:hanging="1440" w:left="3960"/>
      </w:pPr>
      <w:rPr/>
    </w:lvl>
    <w:lvl w:ilvl="7">
      <w:start w:val="1"/>
      <w:numFmt w:val="decimal"/>
      <w:isLgl w:val="1"/>
      <w:suff w:val="tab"/>
      <w:lvlText w:val="%1.%2.%3.%4.%5.%6.%7.%8"/>
      <w:lvlJc w:val="left"/>
      <w:pPr>
        <w:ind w:hanging="1800" w:left="4680"/>
      </w:pPr>
      <w:rPr/>
    </w:lvl>
    <w:lvl w:ilvl="8">
      <w:start w:val="1"/>
      <w:numFmt w:val="decimal"/>
      <w:isLgl w:val="1"/>
      <w:suff w:val="tab"/>
      <w:lvlText w:val="%1.%2.%3.%4.%5.%6.%7.%8.%9"/>
      <w:lvlJc w:val="left"/>
      <w:pPr>
        <w:ind w:hanging="2160" w:left="5400"/>
      </w:pPr>
      <w:rPr/>
    </w:lvl>
  </w:abstractNum>
  <w:num w:numId="1">
    <w:abstractNumId w:val="16"/>
  </w:num>
  <w:num w:numId="2">
    <w:abstractNumId w:val="8"/>
  </w:num>
  <w:num w:numId="3">
    <w:abstractNumId w:val="9"/>
  </w:num>
  <w:num w:numId="4">
    <w:abstractNumId w:val="2"/>
  </w:num>
  <w:num w:numId="5">
    <w:abstractNumId w:val="5"/>
  </w:num>
  <w:num w:numId="6">
    <w:abstractNumId w:val="14"/>
  </w:num>
  <w:num w:numId="7">
    <w:abstractNumId w:val="1"/>
  </w:num>
  <w:num w:numId="8">
    <w:abstractNumId w:val="4"/>
  </w:num>
  <w:num w:numId="9">
    <w:abstractNumId w:val="12"/>
  </w:num>
  <w:num w:numId="10">
    <w:abstractNumId w:val="13"/>
  </w:num>
  <w:num w:numId="11">
    <w:abstractNumId w:val="7"/>
  </w:num>
  <w:num w:numId="12">
    <w:abstractNumId w:val="11"/>
  </w:num>
  <w:num w:numId="13">
    <w:abstractNumId w:val="15"/>
  </w:num>
  <w:num w:numId="14">
    <w:abstractNumId w:val="3"/>
  </w:num>
  <w:num w:numId="15">
    <w:abstractNumId w:val="17"/>
  </w:num>
  <w:num w:numId="16">
    <w:abstractNumId w:val="6"/>
  </w:num>
  <w:num w:numId="17">
    <w:abstractNumId w:val="0"/>
  </w:num>
  <w:num w:numId="18">
    <w:abstractNumId w:val="10"/>
  </w:num>
  <w:num w:numId="19">
    <w:abstractNumId w:val="18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200" w:beforeAutospacing="0" w:afterAutospacing="0"/>
    </w:pPr>
    <w:rPr>
      <w:sz w:val="22"/>
    </w:rPr>
  </w:style>
  <w:style w:type="paragraph" w:styleId="P1">
    <w:name w:val="Default"/>
    <w:pPr/>
    <w:rPr>
      <w:rFonts w:ascii="Times New Roman" w:hAnsi="Times New Roman"/>
      <w:color w:val="000000"/>
      <w:sz w:val="24"/>
    </w:rPr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3">
    <w:name w:val="List Paragraph"/>
    <w:basedOn w:val="P0"/>
    <w:qFormat/>
    <w:pPr>
      <w:ind w:left="720"/>
      <w:contextualSpacing w:val="1"/>
    </w:pPr>
    <w:rPr/>
  </w:style>
  <w:style w:type="paragraph" w:styleId="P4">
    <w:name w:val="No Spacing"/>
    <w:qFormat/>
    <w:pPr/>
    <w:rPr>
      <w:sz w:val="22"/>
    </w:rPr>
  </w:style>
  <w:style w:type="paragraph" w:styleId="P5">
    <w:name w:val="ConsPlusNormal"/>
    <w:pPr>
      <w:widowControl w:val="0"/>
    </w:pPr>
    <w:rPr>
      <w:rFonts w:ascii="Arial" w:hAnsi="Arial"/>
    </w:rPr>
  </w:style>
  <w:style w:type="paragraph" w:styleId="P6">
    <w:name w:val="ConsNormal"/>
    <w:pPr>
      <w:widowControl w:val="0"/>
      <w:ind w:firstLine="720"/>
    </w:pPr>
    <w:rPr>
      <w:rFonts w:ascii="Arial" w:hAnsi="Arial"/>
    </w:rPr>
  </w:style>
  <w:style w:type="paragraph" w:styleId="P7">
    <w:name w:val="Стиль"/>
    <w:pPr>
      <w:widowControl w:val="0"/>
    </w:pPr>
    <w:rPr>
      <w:rFonts w:ascii="Times New Roman" w:hAnsi="Times New Roman"/>
      <w:sz w:val="24"/>
    </w:rPr>
  </w:style>
  <w:style w:type="paragraph" w:styleId="P8">
    <w:name w:val="header"/>
    <w:basedOn w:val="P0"/>
    <w:link w:val="C5"/>
    <w:semiHidden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9">
    <w:name w:val="footer"/>
    <w:basedOn w:val="P0"/>
    <w:link w:val="C6"/>
    <w:semiHidden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10">
    <w:name w:val="Основной текст (2)"/>
    <w:basedOn w:val="P0"/>
    <w:link w:val="C7"/>
    <w:pPr>
      <w:widowControl w:val="0"/>
      <w:shd w:val="clear" w:fill="FFFFFF"/>
      <w:spacing w:lineRule="exact" w:line="322" w:before="300" w:after="300" w:beforeAutospacing="0" w:afterAutospacing="0"/>
      <w:ind w:firstLine="360"/>
      <w:jc w:val="both"/>
    </w:pPr>
    <w:rPr>
      <w:rFonts w:ascii="Times New Roman" w:hAnsi="Times New Roman"/>
      <w:sz w:val="28"/>
    </w:rPr>
  </w:style>
  <w:style w:type="paragraph" w:styleId="P1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12">
    <w:name w:val="2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13">
    <w:name w:val="ConsPlusTitle"/>
    <w:pPr>
      <w:widowControl w:val="0"/>
    </w:pPr>
    <w:rPr>
      <w:b w:val="1"/>
      <w:sz w:val="22"/>
    </w:rPr>
  </w:style>
  <w:style w:type="paragraph" w:styleId="P14">
    <w:name w:val="Pa9"/>
    <w:basedOn w:val="P1"/>
    <w:next w:val="P1"/>
    <w:pPr>
      <w:spacing w:lineRule="atLeast" w:line="241" w:beforeAutospacing="0" w:afterAutospacing="0"/>
    </w:pPr>
    <w:rPr>
      <w:color w:val="auto"/>
    </w:rPr>
  </w:style>
  <w:style w:type="paragraph" w:styleId="P15">
    <w:name w:val="p8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semiHidden/>
    <w:rPr>
      <w:color w:val="0000FF"/>
      <w:u w:val="single"/>
    </w:rPr>
  </w:style>
  <w:style w:type="character" w:styleId="C3">
    <w:name w:val="Текст выноски Знак"/>
    <w:basedOn w:val="C0"/>
    <w:link w:val="P2"/>
    <w:semiHidden/>
    <w:rPr>
      <w:rFonts w:ascii="Tahoma" w:hAnsi="Tahoma"/>
      <w:sz w:val="16"/>
    </w:rPr>
  </w:style>
  <w:style w:type="character" w:styleId="C4">
    <w:name w:val="Strong"/>
    <w:basedOn w:val="C0"/>
    <w:qFormat/>
    <w:rPr>
      <w:b w:val="1"/>
    </w:rPr>
  </w:style>
  <w:style w:type="character" w:styleId="C5">
    <w:name w:val="Верхний колонтитул Знак"/>
    <w:basedOn w:val="C0"/>
    <w:link w:val="P8"/>
    <w:semiHidden/>
    <w:rPr/>
  </w:style>
  <w:style w:type="character" w:styleId="C6">
    <w:name w:val="Нижний колонтитул Знак"/>
    <w:basedOn w:val="C0"/>
    <w:link w:val="P9"/>
    <w:semiHidden/>
    <w:rPr/>
  </w:style>
  <w:style w:type="character" w:styleId="C7">
    <w:name w:val="Основной текст (2)_"/>
    <w:basedOn w:val="C0"/>
    <w:link w:val="P10"/>
    <w:rPr>
      <w:rFonts w:ascii="Times New Roman" w:hAnsi="Times New Roman"/>
      <w:sz w:val="28"/>
    </w:rPr>
  </w:style>
  <w:style w:type="character" w:styleId="C8">
    <w:name w:val="A1"/>
    <w:rPr>
      <w:rFonts w:ascii="Times New Roman" w:hAnsi="Times New Roman"/>
      <w:b w:val="1"/>
      <w:color w:val="000000"/>
      <w:sz w:val="20"/>
    </w:rPr>
  </w:style>
  <w:style w:type="character" w:styleId="C9">
    <w:name w:val="A7"/>
    <w:rPr>
      <w:rFonts w:ascii="Times New Roman" w:hAnsi="Times New Roman"/>
      <w:color w:val="000000"/>
      <w:sz w:val="20"/>
      <w:u w:val="single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2" Type="http://schemas.openxmlformats.org/officeDocument/2006/relationships/image" Target="/media/image2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3" Type="http://schemas.openxmlformats.org/officeDocument/2006/relationships/image" Target="/media/image3.jpg" /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