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360" w:before="90" w:after="210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shd w:fill="FFFFFF" w:val="clear"/>
          <w:lang w:eastAsia="ru-RU"/>
        </w:rPr>
      </w:pPr>
      <w:r>
        <w:rPr>
          <w:rFonts w:eastAsia="Times New Roman" w:cs="Calibri"/>
          <w:color w:val="273350"/>
          <w:lang w:eastAsia="ru-RU"/>
        </w:rPr>
        <w:br/>
      </w:r>
      <w:r>
        <w:rPr>
          <w:rFonts w:eastAsia="Times New Roman" w:cs="Times New Roman" w:ascii="Times New Roman" w:hAnsi="Times New Roman"/>
          <w:color w:val="1A1A1A"/>
          <w:sz w:val="28"/>
          <w:szCs w:val="28"/>
          <w:shd w:fill="FFFFFF" w:val="clear"/>
          <w:lang w:eastAsia="ru-RU"/>
        </w:rPr>
        <w:t>ВСЕРОССИЙСКИЙ КОНКУРС «ЗДОРОВЫЕ РЕШЕНИЯ» — 2024</w:t>
      </w:r>
    </w:p>
    <w:p>
      <w:pPr>
        <w:pStyle w:val="BodyText"/>
        <w:spacing w:before="0" w:after="0"/>
        <w:ind w:hanging="0" w:left="0" w:right="0"/>
        <w:rPr/>
      </w:pPr>
      <w:r>
        <w:rPr/>
      </w:r>
    </w:p>
    <w:p>
      <w:pPr>
        <w:pStyle w:val="BodyText"/>
        <w:pBdr/>
        <w:ind w:hanging="0" w:left="0" w:right="0"/>
        <w:rPr/>
      </w:pPr>
      <w:r>
        <w:rPr/>
        <w:t>В этом году Общероссийский Профсоюз образования вновь проводит Всероссийский конкурс лучших практик по пропаганде и формированию здорового образа жизни «Здоровые решения».</w:t>
      </w:r>
    </w:p>
    <w:p>
      <w:pPr>
        <w:pStyle w:val="BodyText"/>
        <w:pBdr/>
        <w:ind w:hanging="0" w:left="0" w:right="0"/>
        <w:rPr/>
      </w:pPr>
      <w:r>
        <w:rPr/>
        <w:t>Конкурс направлен на выявление действующих практик по реализации здоровьеформирующих, физкультурно-оздоровительных, спортивных инициатив, проектов и программ для работников системы образования, популяризации здорового образа жизни и массового спорта в образовательной среде.</w:t>
      </w:r>
    </w:p>
    <w:p>
      <w:pPr>
        <w:pStyle w:val="BodyText"/>
        <w:pBdr/>
        <w:ind w:hanging="0" w:left="0" w:right="0"/>
        <w:rPr/>
      </w:pPr>
      <w:r>
        <w:rPr/>
        <w:t>Важная задача конкурса — повышение социальной значимости и статуса учителей и инструкторов физической культуры образовательных учреждений, формирование в образовательных организациях осознанной потребности в занятиях спортом и физической культурой, укрепление и сохранение здоровья работников, обучающихся и воспитанников системы образования.</w:t>
      </w:r>
    </w:p>
    <w:p>
      <w:pPr>
        <w:pStyle w:val="BodyText"/>
        <w:pBdr/>
        <w:ind w:hanging="0" w:left="0" w:right="0"/>
        <w:rPr/>
      </w:pPr>
      <w:r>
        <w:rPr/>
        <w:t>В этом году заявки от участников конкурса принимаются с 19 февраля по 19 апреля 2024 года. Конкурсные материалы загружаются в личные кабинеты участников по адресу </w:t>
      </w:r>
      <w:hyperlink r:id="rId2" w:tgtFrame="_blank">
        <w:r>
          <w:rPr>
            <w:rStyle w:val="Hyperlink"/>
          </w:rPr>
          <w:t>https://zoj2024.prof.as/sign-in/</w:t>
        </w:r>
      </w:hyperlink>
      <w:r>
        <w:rPr/>
        <w:t>.</w:t>
      </w:r>
    </w:p>
    <w:p>
      <w:pPr>
        <w:pStyle w:val="BodyText"/>
        <w:pBdr/>
        <w:ind w:hanging="0" w:left="0" w:right="0"/>
        <w:rPr/>
      </w:pPr>
      <w:r>
        <w:rPr/>
        <w:t>Номинации конкурса: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spacing w:before="0" w:after="0"/>
        <w:ind w:hanging="283" w:left="450" w:right="0"/>
        <w:rPr/>
      </w:pPr>
      <w:r>
        <w:rPr/>
        <w:t>Программа региональной (межрегиональной) организации Профсоюза;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spacing w:before="0" w:after="0"/>
        <w:ind w:hanging="283" w:left="450" w:right="0"/>
        <w:rPr/>
      </w:pPr>
      <w:r>
        <w:rPr/>
        <w:t>Программа территориальной организации Профсоюза;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spacing w:before="0" w:after="0"/>
        <w:ind w:hanging="283" w:left="450" w:right="0"/>
        <w:rPr/>
      </w:pPr>
      <w:r>
        <w:rPr/>
        <w:t>Программа первичной организации дошкольной образовательной организации Профсоюза;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spacing w:before="0" w:after="0"/>
        <w:ind w:hanging="283" w:left="450" w:right="0"/>
        <w:rPr/>
      </w:pPr>
      <w:r>
        <w:rPr/>
        <w:t>Программа первичной организации общеобразовательной организации Профсоюза;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spacing w:before="0" w:after="0"/>
        <w:ind w:hanging="283" w:left="450" w:right="0"/>
        <w:rPr/>
      </w:pPr>
      <w:r>
        <w:rPr/>
        <w:t>Программа первичной организации профессиональной образовательной организации Профсоюза;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spacing w:before="0" w:after="0"/>
        <w:ind w:hanging="283" w:left="450" w:right="0"/>
        <w:rPr/>
      </w:pPr>
      <w:r>
        <w:rPr/>
        <w:t>Программа первичной организации образовательной организации высшего образования Профсоюза;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ind w:hanging="283" w:left="450" w:right="0"/>
        <w:rPr/>
      </w:pPr>
      <w:r>
        <w:rPr/>
        <w:t>Программа «Педагог для педагогов».</w:t>
      </w:r>
    </w:p>
    <w:p>
      <w:pPr>
        <w:pStyle w:val="BodyText"/>
        <w:pBdr/>
        <w:ind w:hanging="0" w:left="0" w:right="0"/>
        <w:rPr/>
      </w:pPr>
      <w:r>
        <w:rPr/>
        <w:t>Программы по работе с детьми к конкурсу не допускаются!</w:t>
      </w:r>
    </w:p>
    <w:p>
      <w:pPr>
        <w:pStyle w:val="BodyText"/>
        <w:pBdr/>
        <w:ind w:hanging="0" w:left="0" w:right="0"/>
        <w:rPr/>
      </w:pPr>
      <w:r>
        <w:rPr/>
        <w:t>Жюри конкурса будет работать с 22 апреля по 22 мая, а уже в июне будут оглашены результаты конкурса. Тогда же состоится и награждение его победителей.</w:t>
      </w:r>
    </w:p>
    <w:p>
      <w:pPr>
        <w:pStyle w:val="BodyText"/>
        <w:pBdr/>
        <w:ind w:hanging="0" w:left="0" w:right="0"/>
        <w:rPr/>
      </w:pPr>
      <w:r>
        <w:rPr/>
        <w:t>Все участники конкурса получат электронные дипломы участника конкурса. Победители конкурса, занявшие 1, 2 и 3 места, будут награждены дипломами победителя, памятными знаками конкурса и премией. Кроме денежного приза, победители, занявшие первые места во всех номинациях, будут также приглашены в тренинг-лагерь Общероссийского Профсоюза образования «Амбассадоры здоровья», который пройдёт в июле 2024 года в Краснодарском крае.</w:t>
      </w:r>
    </w:p>
    <w:p>
      <w:pPr>
        <w:pStyle w:val="BodyText"/>
        <w:pBdr/>
        <w:ind w:hanging="0" w:left="0" w:right="0"/>
        <w:rPr/>
      </w:pPr>
      <w:r>
        <w:rPr/>
        <w:t>Более подробно с информацией о конкурсе можно ознакомиться на странице конкурса по адресу </w:t>
      </w:r>
      <w:hyperlink r:id="rId3" w:tgtFrame="_blank">
        <w:r>
          <w:rPr>
            <w:rStyle w:val="Hyperlink"/>
          </w:rPr>
          <w:t>https://prof.as/profzozh.php</w:t>
        </w:r>
      </w:hyperlink>
      <w:r>
        <w:rPr/>
        <w:t>.</w:t>
      </w:r>
    </w:p>
    <w:p>
      <w:pPr>
        <w:pStyle w:val="Normal"/>
        <w:shd w:val="clear" w:color="auto" w:fill="FFFFFF"/>
        <w:spacing w:lineRule="auto" w:line="360" w:before="90" w:after="210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shd w:fill="FFFFFF" w:val="clear"/>
          <w:lang w:eastAsia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00"/>
        </w:tabs>
        <w:ind w:lef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8469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84698"/>
    <w:rPr>
      <w:color w:val="0000FF"/>
      <w:u w:val="single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oj2024.prof.as/sign-in/" TargetMode="External"/><Relationship Id="rId3" Type="http://schemas.openxmlformats.org/officeDocument/2006/relationships/hyperlink" Target="https://prof.as/profzozh.php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Application>LibreOffice/7.6.4.1$Windows_X86_64 LibreOffice_project/e19e193f88cd6c0525a17fb7a176ed8e6a3e2aa1</Application>
  <AppVersion>15.0000</AppVersion>
  <Pages>1</Pages>
  <Words>270</Words>
  <Characters>2036</Characters>
  <CharactersWithSpaces>2285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2024-02-01T12:20:00Z</dcterms:created>
  <dc:creator>Людмила</dc:creator>
  <dc:description/>
  <dc:language>ru-RU</dc:language>
  <cp:lastModifiedBy/>
  <cp:lastPrinted>2024-02-02T08:02:44Z</cp:lastPrinted>
  <dcterms:modified xsi:type="dcterms:W3CDTF">2024-02-21T11:11:56Z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