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1138E3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1138E3">
              <w:rPr>
                <w:noProof/>
                <w:sz w:val="20"/>
                <w:szCs w:val="16"/>
              </w:rPr>
              <w:drawing>
                <wp:inline distT="0" distB="0" distL="0" distR="0">
                  <wp:extent cx="426720" cy="487680"/>
                  <wp:effectExtent l="19050" t="0" r="0" b="0"/>
                  <wp:docPr id="1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 w:rsidRPr="0099023A">
              <w:rPr>
                <w:b/>
                <w:sz w:val="35"/>
                <w:szCs w:val="35"/>
              </w:rPr>
              <w:t>КОМИТЕТ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3A6250" w:rsidRPr="003A6250" w:rsidRDefault="003A6250" w:rsidP="003A6250">
      <w:pPr>
        <w:pStyle w:val="a5"/>
        <w:jc w:val="center"/>
        <w:rPr>
          <w:rFonts w:ascii="Times New Roman" w:hAnsi="Times New Roman"/>
          <w:sz w:val="28"/>
          <w:szCs w:val="23"/>
          <w:lang w:val="ru-RU"/>
        </w:rPr>
      </w:pPr>
      <w:r>
        <w:rPr>
          <w:rFonts w:ascii="Times New Roman" w:hAnsi="Times New Roman"/>
          <w:sz w:val="28"/>
          <w:szCs w:val="23"/>
        </w:rPr>
        <w:t>II</w:t>
      </w:r>
      <w:r w:rsidRPr="009671D0">
        <w:rPr>
          <w:rFonts w:ascii="Times New Roman" w:hAnsi="Times New Roman"/>
          <w:sz w:val="28"/>
          <w:szCs w:val="23"/>
          <w:lang w:val="ru-RU"/>
        </w:rPr>
        <w:t xml:space="preserve"> ЗАСЕДАНИЕ КОМИТЕТА (ПЛЕНУМ)</w:t>
      </w:r>
    </w:p>
    <w:p w:rsidR="003A6250" w:rsidRDefault="003A6250" w:rsidP="00C52FF0">
      <w:pPr>
        <w:pStyle w:val="a5"/>
        <w:rPr>
          <w:rFonts w:ascii="Times New Roman" w:hAnsi="Times New Roman"/>
          <w:sz w:val="28"/>
          <w:szCs w:val="23"/>
          <w:lang w:val="ru-RU"/>
        </w:rPr>
      </w:pPr>
    </w:p>
    <w:p w:rsidR="00E467DF" w:rsidRPr="0099023A" w:rsidRDefault="00415ED6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 w:rsidRPr="0099023A">
        <w:rPr>
          <w:rFonts w:ascii="Times New Roman" w:hAnsi="Times New Roman"/>
          <w:sz w:val="28"/>
          <w:szCs w:val="23"/>
          <w:lang w:val="ru-RU"/>
        </w:rPr>
        <w:t>27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января 2021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bookmarkStart w:id="0" w:name="_GoBack"/>
      <w:bookmarkEnd w:id="0"/>
      <w:r w:rsidR="009C05EC">
        <w:rPr>
          <w:rFonts w:ascii="Times New Roman" w:hAnsi="Times New Roman"/>
          <w:sz w:val="28"/>
          <w:szCs w:val="23"/>
          <w:lang w:val="ru-RU"/>
        </w:rPr>
        <w:t>4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C05EC" w:rsidRDefault="009C05EC" w:rsidP="009C05EC">
      <w:pPr>
        <w:suppressAutoHyphens w:val="0"/>
        <w:spacing w:after="0" w:line="240" w:lineRule="auto"/>
        <w:ind w:right="5669"/>
        <w:rPr>
          <w:rFonts w:ascii="Times New Roman" w:hAnsi="Times New Roman" w:cs="Times New Roman"/>
          <w:b/>
          <w:sz w:val="28"/>
          <w:szCs w:val="28"/>
        </w:rPr>
      </w:pPr>
      <w:r w:rsidRPr="00255BF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развитии форм солидарной поддержки </w:t>
      </w:r>
      <w:r w:rsidRPr="00255BF4">
        <w:rPr>
          <w:rFonts w:ascii="Times New Roman" w:hAnsi="Times New Roman" w:cs="Times New Roman"/>
          <w:b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55BF4">
        <w:rPr>
          <w:rFonts w:ascii="Times New Roman" w:hAnsi="Times New Roman" w:cs="Times New Roman"/>
          <w:b/>
          <w:sz w:val="28"/>
          <w:szCs w:val="28"/>
        </w:rPr>
        <w:t xml:space="preserve"> Профсоюза в рамках межрегионального кредитно-потребительского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55BF4">
        <w:rPr>
          <w:rFonts w:ascii="Times New Roman" w:hAnsi="Times New Roman" w:cs="Times New Roman"/>
          <w:b/>
          <w:sz w:val="28"/>
          <w:szCs w:val="28"/>
        </w:rPr>
        <w:t>ооператива «Учительский»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523" w:rsidRPr="00D41523" w:rsidRDefault="009C05EC" w:rsidP="009C05EC">
      <w:pPr>
        <w:suppressAutoHyphens w:val="0"/>
        <w:spacing w:after="0" w:line="240" w:lineRule="auto"/>
        <w:ind w:right="5669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и программ дополнительного медицинского страхования</w:t>
      </w:r>
    </w:p>
    <w:p w:rsidR="00D41523" w:rsidRPr="00D41523" w:rsidRDefault="00D41523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D41523" w:rsidRDefault="009C05EC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Заслушав информацию Ю.Г. Абдуллаева, председателя краевой орган</w:t>
      </w: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зации, А.А. Блохина, советника ЦС Профсоюза, А.Н. Степанова, заместителя председателя Чувашской республиканской организации Профсоюза, комитет краевой организации отмечает, что с 2013 г. </w:t>
      </w:r>
      <w:r w:rsidR="006E0B02">
        <w:rPr>
          <w:rFonts w:ascii="Times New Roman" w:hAnsi="Times New Roman" w:cs="Times New Roman"/>
          <w:sz w:val="28"/>
          <w:szCs w:val="28"/>
          <w:lang w:bidi="en-US"/>
        </w:rPr>
        <w:t xml:space="preserve">в Алтайской краевой организации Профсоюза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ведется целенаправленная работа по развитию </w:t>
      </w:r>
      <w:r w:rsidR="006E0B02">
        <w:rPr>
          <w:rFonts w:ascii="Times New Roman" w:hAnsi="Times New Roman" w:cs="Times New Roman"/>
          <w:sz w:val="28"/>
          <w:szCs w:val="28"/>
          <w:lang w:bidi="en-US"/>
        </w:rPr>
        <w:t>инновационных форм солидарной поддержки членов Профсоюза.</w:t>
      </w:r>
    </w:p>
    <w:p w:rsidR="006E0B02" w:rsidRDefault="006E0B02" w:rsidP="006E0B02">
      <w:pPr>
        <w:suppressAutoHyphens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Так, с 2013 г. Алтайская краевая и Барнаульская городская организации участвуют серьёзными финансовыми средствами в деятельности кредитного </w:t>
      </w:r>
      <w:r w:rsidRPr="00463C5A">
        <w:rPr>
          <w:rFonts w:ascii="Times New Roman" w:hAnsi="Times New Roman" w:cs="Times New Roman"/>
          <w:b/>
          <w:sz w:val="28"/>
          <w:szCs w:val="28"/>
          <w:lang w:bidi="en-US"/>
        </w:rPr>
        <w:t>потребительского кооператива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«Алтай»</w:t>
      </w:r>
      <w:r w:rsidR="00485BB6">
        <w:rPr>
          <w:rFonts w:ascii="Times New Roman" w:hAnsi="Times New Roman" w:cs="Times New Roman"/>
          <w:sz w:val="28"/>
          <w:szCs w:val="28"/>
          <w:lang w:bidi="en-US"/>
        </w:rPr>
        <w:t xml:space="preserve"> (КПК «Алтай»)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6E0B02">
        <w:rPr>
          <w:rFonts w:ascii="Times New Roman" w:hAnsi="Times New Roman" w:cs="Times New Roman"/>
          <w:sz w:val="28"/>
          <w:szCs w:val="28"/>
        </w:rPr>
        <w:t>Только за 2016-2019 гг. через кредитный профсоюзный кооператив получили льготные кредиты 218 пайщиков на общую сумму 2 млн. 867 тысяч рублей. Средняя сумма кредита составила 13 тыс. рублей и варьировалась от 5 до 50 тысяч рублей, в зависим</w:t>
      </w:r>
      <w:r w:rsidRPr="006E0B02">
        <w:rPr>
          <w:rFonts w:ascii="Times New Roman" w:hAnsi="Times New Roman" w:cs="Times New Roman"/>
          <w:sz w:val="28"/>
          <w:szCs w:val="28"/>
        </w:rPr>
        <w:t>о</w:t>
      </w:r>
      <w:r w:rsidRPr="006E0B02">
        <w:rPr>
          <w:rFonts w:ascii="Times New Roman" w:hAnsi="Times New Roman" w:cs="Times New Roman"/>
          <w:sz w:val="28"/>
          <w:szCs w:val="28"/>
        </w:rPr>
        <w:t xml:space="preserve">сти от размера дохода заёмщика. </w:t>
      </w:r>
      <w:proofErr w:type="gramStart"/>
      <w:r w:rsidRPr="006E0B02">
        <w:rPr>
          <w:rFonts w:ascii="Times New Roman" w:hAnsi="Times New Roman" w:cs="Times New Roman"/>
          <w:sz w:val="28"/>
          <w:szCs w:val="28"/>
        </w:rPr>
        <w:t>В КПК «Алтай» действ</w:t>
      </w:r>
      <w:r w:rsidR="003526AA">
        <w:rPr>
          <w:rFonts w:ascii="Times New Roman" w:hAnsi="Times New Roman" w:cs="Times New Roman"/>
          <w:sz w:val="28"/>
          <w:szCs w:val="28"/>
        </w:rPr>
        <w:t>овали</w:t>
      </w:r>
      <w:r w:rsidRPr="006E0B02">
        <w:rPr>
          <w:rFonts w:ascii="Times New Roman" w:hAnsi="Times New Roman" w:cs="Times New Roman"/>
          <w:sz w:val="28"/>
          <w:szCs w:val="28"/>
        </w:rPr>
        <w:t xml:space="preserve"> не только кр</w:t>
      </w:r>
      <w:r w:rsidRPr="006E0B02">
        <w:rPr>
          <w:rFonts w:ascii="Times New Roman" w:hAnsi="Times New Roman" w:cs="Times New Roman"/>
          <w:sz w:val="28"/>
          <w:szCs w:val="28"/>
        </w:rPr>
        <w:t>е</w:t>
      </w:r>
      <w:r w:rsidRPr="006E0B02">
        <w:rPr>
          <w:rFonts w:ascii="Times New Roman" w:hAnsi="Times New Roman" w:cs="Times New Roman"/>
          <w:sz w:val="28"/>
          <w:szCs w:val="28"/>
        </w:rPr>
        <w:t xml:space="preserve">дитные, но и накопительные программы: образовательная, оздоровительная, пенсионная, сберегательная. </w:t>
      </w:r>
      <w:proofErr w:type="gramEnd"/>
    </w:p>
    <w:p w:rsidR="006E0B02" w:rsidRPr="001D2C0D" w:rsidRDefault="006E0B02" w:rsidP="00125056">
      <w:pPr>
        <w:pStyle w:val="ac"/>
        <w:ind w:left="0" w:firstLine="709"/>
        <w:jc w:val="right"/>
        <w:rPr>
          <w:i/>
          <w:sz w:val="28"/>
          <w:szCs w:val="28"/>
        </w:rPr>
      </w:pPr>
      <w:r w:rsidRPr="001D2C0D">
        <w:rPr>
          <w:i/>
          <w:sz w:val="28"/>
          <w:szCs w:val="28"/>
        </w:rPr>
        <w:t xml:space="preserve">Таблица </w:t>
      </w:r>
      <w:r w:rsidR="00125056">
        <w:rPr>
          <w:i/>
          <w:sz w:val="28"/>
          <w:szCs w:val="28"/>
        </w:rPr>
        <w:t>1</w:t>
      </w:r>
      <w:r w:rsidRPr="001D2C0D">
        <w:rPr>
          <w:i/>
          <w:sz w:val="28"/>
          <w:szCs w:val="28"/>
        </w:rPr>
        <w:t>.</w:t>
      </w:r>
    </w:p>
    <w:p w:rsidR="006E0B02" w:rsidRPr="001D2C0D" w:rsidRDefault="006E0B02" w:rsidP="006E0B02">
      <w:pPr>
        <w:pStyle w:val="ac"/>
        <w:ind w:left="0" w:firstLine="709"/>
        <w:jc w:val="both"/>
        <w:rPr>
          <w:i/>
          <w:sz w:val="28"/>
          <w:szCs w:val="28"/>
        </w:rPr>
      </w:pPr>
      <w:r w:rsidRPr="001D2C0D">
        <w:rPr>
          <w:i/>
          <w:sz w:val="28"/>
          <w:szCs w:val="28"/>
        </w:rPr>
        <w:t>Льготное кредитование через КПК «Алтай», 2016-2019 гг.</w:t>
      </w:r>
    </w:p>
    <w:tbl>
      <w:tblPr>
        <w:tblStyle w:val="a8"/>
        <w:tblW w:w="9462" w:type="dxa"/>
        <w:tblInd w:w="108" w:type="dxa"/>
        <w:tblLook w:val="04A0"/>
      </w:tblPr>
      <w:tblGrid>
        <w:gridCol w:w="4423"/>
        <w:gridCol w:w="1196"/>
        <w:gridCol w:w="1196"/>
        <w:gridCol w:w="1273"/>
        <w:gridCol w:w="1374"/>
      </w:tblGrid>
      <w:tr w:rsidR="006E0B02" w:rsidTr="00973FCB">
        <w:trPr>
          <w:trHeight w:val="357"/>
        </w:trPr>
        <w:tc>
          <w:tcPr>
            <w:tcW w:w="4423" w:type="dxa"/>
          </w:tcPr>
          <w:p w:rsidR="006E0B02" w:rsidRPr="007013AA" w:rsidRDefault="006E0B02" w:rsidP="00973FCB">
            <w:pPr>
              <w:pStyle w:val="ac"/>
              <w:ind w:left="0"/>
              <w:jc w:val="center"/>
              <w:rPr>
                <w:b/>
                <w:sz w:val="28"/>
                <w:szCs w:val="28"/>
              </w:rPr>
            </w:pPr>
            <w:r w:rsidRPr="007013AA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196" w:type="dxa"/>
          </w:tcPr>
          <w:p w:rsidR="006E0B02" w:rsidRPr="007013AA" w:rsidRDefault="006E0B02" w:rsidP="00973FCB">
            <w:pPr>
              <w:pStyle w:val="ac"/>
              <w:ind w:left="0"/>
              <w:jc w:val="center"/>
              <w:rPr>
                <w:b/>
                <w:sz w:val="28"/>
                <w:szCs w:val="28"/>
              </w:rPr>
            </w:pPr>
            <w:r w:rsidRPr="007013AA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96" w:type="dxa"/>
          </w:tcPr>
          <w:p w:rsidR="006E0B02" w:rsidRPr="007013AA" w:rsidRDefault="006E0B02" w:rsidP="00973FCB">
            <w:pPr>
              <w:pStyle w:val="ac"/>
              <w:ind w:left="0"/>
              <w:jc w:val="center"/>
              <w:rPr>
                <w:b/>
                <w:sz w:val="28"/>
                <w:szCs w:val="28"/>
              </w:rPr>
            </w:pPr>
            <w:r w:rsidRPr="007013AA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73" w:type="dxa"/>
          </w:tcPr>
          <w:p w:rsidR="006E0B02" w:rsidRPr="007013AA" w:rsidRDefault="006E0B02" w:rsidP="00973FCB">
            <w:pPr>
              <w:pStyle w:val="ac"/>
              <w:ind w:left="0"/>
              <w:jc w:val="center"/>
              <w:rPr>
                <w:b/>
                <w:sz w:val="28"/>
                <w:szCs w:val="28"/>
              </w:rPr>
            </w:pPr>
            <w:r w:rsidRPr="007013AA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374" w:type="dxa"/>
          </w:tcPr>
          <w:p w:rsidR="006E0B02" w:rsidRPr="007013AA" w:rsidRDefault="006E0B02" w:rsidP="00973FCB">
            <w:pPr>
              <w:pStyle w:val="ac"/>
              <w:ind w:left="0"/>
              <w:jc w:val="center"/>
              <w:rPr>
                <w:b/>
                <w:sz w:val="28"/>
                <w:szCs w:val="28"/>
              </w:rPr>
            </w:pPr>
            <w:r w:rsidRPr="007013AA">
              <w:rPr>
                <w:b/>
                <w:sz w:val="28"/>
                <w:szCs w:val="28"/>
              </w:rPr>
              <w:t>2019</w:t>
            </w:r>
          </w:p>
        </w:tc>
      </w:tr>
      <w:tr w:rsidR="006E0B02" w:rsidTr="00973FCB">
        <w:trPr>
          <w:trHeight w:val="371"/>
        </w:trPr>
        <w:tc>
          <w:tcPr>
            <w:tcW w:w="4423" w:type="dxa"/>
          </w:tcPr>
          <w:p w:rsidR="006E0B02" w:rsidRPr="007013AA" w:rsidRDefault="006E0B02" w:rsidP="00973FCB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7013AA">
              <w:rPr>
                <w:b/>
                <w:sz w:val="28"/>
                <w:szCs w:val="28"/>
              </w:rPr>
              <w:t xml:space="preserve">Получили </w:t>
            </w:r>
            <w:r>
              <w:rPr>
                <w:b/>
                <w:sz w:val="28"/>
                <w:szCs w:val="28"/>
              </w:rPr>
              <w:t>кредиты с пониже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ставкой</w:t>
            </w:r>
            <w:r w:rsidRPr="007013A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пайщиков</w:t>
            </w:r>
          </w:p>
        </w:tc>
        <w:tc>
          <w:tcPr>
            <w:tcW w:w="1196" w:type="dxa"/>
          </w:tcPr>
          <w:p w:rsidR="006E0B02" w:rsidRDefault="006E0B02" w:rsidP="00973FCB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96" w:type="dxa"/>
          </w:tcPr>
          <w:p w:rsidR="006E0B02" w:rsidRDefault="006E0B02" w:rsidP="00973FCB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3" w:type="dxa"/>
          </w:tcPr>
          <w:p w:rsidR="006E0B02" w:rsidRDefault="006E0B02" w:rsidP="00973FCB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74" w:type="dxa"/>
          </w:tcPr>
          <w:p w:rsidR="006E0B02" w:rsidRDefault="006E0B02" w:rsidP="00973FCB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E0B02" w:rsidTr="00973FCB">
        <w:trPr>
          <w:trHeight w:val="385"/>
        </w:trPr>
        <w:tc>
          <w:tcPr>
            <w:tcW w:w="4423" w:type="dxa"/>
          </w:tcPr>
          <w:p w:rsidR="006E0B02" w:rsidRPr="007013AA" w:rsidRDefault="006E0B02" w:rsidP="00973FCB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7013AA">
              <w:rPr>
                <w:b/>
                <w:sz w:val="28"/>
                <w:szCs w:val="28"/>
              </w:rPr>
              <w:t>На общую сумму, руб.</w:t>
            </w:r>
          </w:p>
        </w:tc>
        <w:tc>
          <w:tcPr>
            <w:tcW w:w="1196" w:type="dxa"/>
          </w:tcPr>
          <w:p w:rsidR="006E0B02" w:rsidRDefault="006E0B02" w:rsidP="00973FCB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  <w:r w:rsidR="00D56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196" w:type="dxa"/>
          </w:tcPr>
          <w:p w:rsidR="006E0B02" w:rsidRDefault="006E0B02" w:rsidP="00973FCB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  <w:r w:rsidR="00D56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3" w:type="dxa"/>
          </w:tcPr>
          <w:p w:rsidR="006E0B02" w:rsidRDefault="006E0B02" w:rsidP="00973FCB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  <w:r w:rsidR="00D56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374" w:type="dxa"/>
          </w:tcPr>
          <w:p w:rsidR="006E0B02" w:rsidRDefault="006E0B02" w:rsidP="00973FCB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  <w:r w:rsidR="00D56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6E0B02" w:rsidRPr="00AF1FD6" w:rsidRDefault="006E0B02" w:rsidP="006E0B02">
      <w:pPr>
        <w:pStyle w:val="ac"/>
        <w:ind w:left="0" w:firstLine="709"/>
        <w:jc w:val="both"/>
        <w:rPr>
          <w:sz w:val="28"/>
          <w:szCs w:val="28"/>
        </w:rPr>
      </w:pPr>
    </w:p>
    <w:p w:rsidR="00125056" w:rsidRDefault="00125056" w:rsidP="00125056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г. краевой комитет был отмечен благодарностью Центрального совета Профсоюза </w:t>
      </w:r>
      <w:r w:rsidRPr="00125056">
        <w:rPr>
          <w:sz w:val="28"/>
          <w:szCs w:val="28"/>
        </w:rPr>
        <w:t>за целенаправленную и эффективную работу по развитию деятельности кредитного потребительского кооператива для членов Профсо</w:t>
      </w:r>
      <w:r w:rsidRPr="00125056">
        <w:rPr>
          <w:sz w:val="28"/>
          <w:szCs w:val="28"/>
        </w:rPr>
        <w:t>ю</w:t>
      </w:r>
      <w:r w:rsidRPr="00125056">
        <w:rPr>
          <w:sz w:val="28"/>
          <w:szCs w:val="28"/>
        </w:rPr>
        <w:t>за.</w:t>
      </w:r>
      <w:r>
        <w:rPr>
          <w:sz w:val="28"/>
          <w:szCs w:val="28"/>
        </w:rPr>
        <w:t xml:space="preserve"> </w:t>
      </w:r>
      <w:r w:rsidRPr="00125056">
        <w:rPr>
          <w:sz w:val="28"/>
          <w:szCs w:val="28"/>
        </w:rPr>
        <w:t xml:space="preserve">По итогам 2018 года Алтайская краевая организация Профсоюза становится </w:t>
      </w:r>
      <w:r w:rsidRPr="00125056">
        <w:rPr>
          <w:sz w:val="28"/>
          <w:szCs w:val="28"/>
        </w:rPr>
        <w:lastRenderedPageBreak/>
        <w:t>призёром Всероссийского смотра-конкурса «Профсоюзная организация выс</w:t>
      </w:r>
      <w:r w:rsidRPr="00125056">
        <w:rPr>
          <w:sz w:val="28"/>
          <w:szCs w:val="28"/>
        </w:rPr>
        <w:t>о</w:t>
      </w:r>
      <w:r w:rsidRPr="00125056">
        <w:rPr>
          <w:sz w:val="28"/>
          <w:szCs w:val="28"/>
        </w:rPr>
        <w:t>кой социальной эффективности», заняв III место в номинации «Динамично ра</w:t>
      </w:r>
      <w:r w:rsidRPr="00125056">
        <w:rPr>
          <w:sz w:val="28"/>
          <w:szCs w:val="28"/>
        </w:rPr>
        <w:t>з</w:t>
      </w:r>
      <w:r w:rsidRPr="00125056">
        <w:rPr>
          <w:sz w:val="28"/>
          <w:szCs w:val="28"/>
        </w:rPr>
        <w:t>вивающийся кредитный кооператив».</w:t>
      </w:r>
    </w:p>
    <w:p w:rsidR="006E0B02" w:rsidRDefault="006E0B02" w:rsidP="006E0B0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5056">
        <w:rPr>
          <w:sz w:val="28"/>
          <w:szCs w:val="28"/>
        </w:rPr>
        <w:t>месте с тем, в последние годы</w:t>
      </w:r>
      <w:r>
        <w:rPr>
          <w:sz w:val="28"/>
          <w:szCs w:val="28"/>
        </w:rPr>
        <w:t xml:space="preserve"> в условиях ужесточения требований к деятельности кредитных кооперативов и санации рынка потребительского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дитования</w:t>
      </w:r>
      <w:r w:rsidR="00125056">
        <w:rPr>
          <w:sz w:val="28"/>
          <w:szCs w:val="28"/>
        </w:rPr>
        <w:t xml:space="preserve"> со стороны Центробанка России и иных контрольных организаций</w:t>
      </w:r>
      <w:r>
        <w:rPr>
          <w:sz w:val="28"/>
          <w:szCs w:val="28"/>
        </w:rPr>
        <w:t>, ввиду увеличения объема расходов и трудозатрат на администрирование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КПК, Центральным советом Профсоюза рекомендовано реализовать процессы объединения небольших К</w:t>
      </w:r>
      <w:proofErr w:type="gramStart"/>
      <w:r>
        <w:rPr>
          <w:sz w:val="28"/>
          <w:szCs w:val="28"/>
        </w:rPr>
        <w:t>ПК в кр</w:t>
      </w:r>
      <w:proofErr w:type="gramEnd"/>
      <w:r>
        <w:rPr>
          <w:sz w:val="28"/>
          <w:szCs w:val="28"/>
        </w:rPr>
        <w:t>упные межрегиональные коопер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тивы. </w:t>
      </w:r>
    </w:p>
    <w:p w:rsidR="00D41523" w:rsidRDefault="00463C5A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 учётом этого, с</w:t>
      </w:r>
      <w:r w:rsidR="00485BB6">
        <w:rPr>
          <w:rFonts w:ascii="Times New Roman" w:hAnsi="Times New Roman" w:cs="Times New Roman"/>
          <w:sz w:val="28"/>
          <w:szCs w:val="28"/>
          <w:lang w:bidi="en-US"/>
        </w:rPr>
        <w:t xml:space="preserve"> 2019 г. специалистами аппарата комитета Алтайской краевой организации Профсоюза дистанционно и в ходе рабочих визитов в А</w:t>
      </w:r>
      <w:r w:rsidR="00485BB6">
        <w:rPr>
          <w:rFonts w:ascii="Times New Roman" w:hAnsi="Times New Roman" w:cs="Times New Roman"/>
          <w:sz w:val="28"/>
          <w:szCs w:val="28"/>
          <w:lang w:bidi="en-US"/>
        </w:rPr>
        <w:t>л</w:t>
      </w:r>
      <w:r w:rsidR="00485BB6">
        <w:rPr>
          <w:rFonts w:ascii="Times New Roman" w:hAnsi="Times New Roman" w:cs="Times New Roman"/>
          <w:sz w:val="28"/>
          <w:szCs w:val="28"/>
          <w:lang w:bidi="en-US"/>
        </w:rPr>
        <w:t>тайский край прорабатывался вопрос о вступлении в партнёрские отношения с КПК «Учительский» при Чувашской республиканской организации Профсоюза – одним из лучших профсоюзных К</w:t>
      </w:r>
      <w:proofErr w:type="gramStart"/>
      <w:r w:rsidR="00485BB6">
        <w:rPr>
          <w:rFonts w:ascii="Times New Roman" w:hAnsi="Times New Roman" w:cs="Times New Roman"/>
          <w:sz w:val="28"/>
          <w:szCs w:val="28"/>
          <w:lang w:bidi="en-US"/>
        </w:rPr>
        <w:t>ПК стр</w:t>
      </w:r>
      <w:proofErr w:type="gramEnd"/>
      <w:r w:rsidR="00485BB6">
        <w:rPr>
          <w:rFonts w:ascii="Times New Roman" w:hAnsi="Times New Roman" w:cs="Times New Roman"/>
          <w:sz w:val="28"/>
          <w:szCs w:val="28"/>
          <w:lang w:bidi="en-US"/>
        </w:rPr>
        <w:t>аны. Данный вопрос получил одо</w:t>
      </w:r>
      <w:r w:rsidR="00485BB6">
        <w:rPr>
          <w:rFonts w:ascii="Times New Roman" w:hAnsi="Times New Roman" w:cs="Times New Roman"/>
          <w:sz w:val="28"/>
          <w:szCs w:val="28"/>
          <w:lang w:bidi="en-US"/>
        </w:rPr>
        <w:t>б</w:t>
      </w:r>
      <w:r w:rsidR="00485BB6">
        <w:rPr>
          <w:rFonts w:ascii="Times New Roman" w:hAnsi="Times New Roman" w:cs="Times New Roman"/>
          <w:sz w:val="28"/>
          <w:szCs w:val="28"/>
          <w:lang w:bidi="en-US"/>
        </w:rPr>
        <w:t>рение со стороны ЦС Профсоюза.</w:t>
      </w:r>
    </w:p>
    <w:p w:rsidR="00463C5A" w:rsidRPr="002F6F9B" w:rsidRDefault="00463C5A" w:rsidP="00463C5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Краевая, м</w:t>
      </w:r>
      <w:r w:rsidRPr="002F6F9B">
        <w:rPr>
          <w:sz w:val="28"/>
          <w:szCs w:val="28"/>
        </w:rPr>
        <w:t xml:space="preserve">естные и первичные профорганизации </w:t>
      </w:r>
      <w:r>
        <w:rPr>
          <w:sz w:val="28"/>
          <w:szCs w:val="28"/>
        </w:rPr>
        <w:t>в последнее время всё активнее</w:t>
      </w:r>
      <w:r w:rsidRPr="002F6F9B">
        <w:rPr>
          <w:sz w:val="28"/>
          <w:szCs w:val="28"/>
        </w:rPr>
        <w:t xml:space="preserve"> используют возможность </w:t>
      </w:r>
      <w:r>
        <w:rPr>
          <w:sz w:val="28"/>
          <w:szCs w:val="28"/>
        </w:rPr>
        <w:t>привлечения</w:t>
      </w:r>
      <w:r w:rsidRPr="002F6F9B">
        <w:rPr>
          <w:sz w:val="28"/>
          <w:szCs w:val="28"/>
        </w:rPr>
        <w:t xml:space="preserve"> </w:t>
      </w:r>
      <w:r w:rsidRPr="00463C5A">
        <w:rPr>
          <w:b/>
          <w:sz w:val="28"/>
          <w:szCs w:val="28"/>
        </w:rPr>
        <w:t>дополнительного медици</w:t>
      </w:r>
      <w:r w:rsidRPr="00463C5A">
        <w:rPr>
          <w:b/>
          <w:sz w:val="28"/>
          <w:szCs w:val="28"/>
        </w:rPr>
        <w:t>н</w:t>
      </w:r>
      <w:r w:rsidRPr="00463C5A">
        <w:rPr>
          <w:b/>
          <w:sz w:val="28"/>
          <w:szCs w:val="28"/>
        </w:rPr>
        <w:t>ского страхования</w:t>
      </w:r>
      <w:r>
        <w:rPr>
          <w:sz w:val="28"/>
          <w:szCs w:val="28"/>
        </w:rPr>
        <w:t xml:space="preserve"> членов Профсоюза и его удешевления</w:t>
      </w:r>
      <w:r w:rsidRPr="002F6F9B">
        <w:rPr>
          <w:sz w:val="28"/>
          <w:szCs w:val="28"/>
        </w:rPr>
        <w:t xml:space="preserve">. </w:t>
      </w:r>
      <w:r>
        <w:rPr>
          <w:sz w:val="28"/>
          <w:szCs w:val="28"/>
        </w:rPr>
        <w:t>На протяжении многих лет</w:t>
      </w:r>
      <w:r w:rsidRPr="002F6F9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сотрудничество в данной сфере с такими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циями, как</w:t>
      </w:r>
      <w:r w:rsidRPr="002F6F9B">
        <w:rPr>
          <w:sz w:val="28"/>
          <w:szCs w:val="28"/>
        </w:rPr>
        <w:t xml:space="preserve"> ООО «Золотая Середина Барнаул» и </w:t>
      </w:r>
      <w:r>
        <w:rPr>
          <w:sz w:val="28"/>
          <w:szCs w:val="28"/>
        </w:rPr>
        <w:t>Страховой дом «ВСК».</w:t>
      </w:r>
    </w:p>
    <w:p w:rsidR="00463C5A" w:rsidRPr="002F6F9B" w:rsidRDefault="00463C5A" w:rsidP="00463C5A">
      <w:pPr>
        <w:pStyle w:val="ac"/>
        <w:ind w:left="0" w:firstLine="709"/>
        <w:jc w:val="both"/>
        <w:rPr>
          <w:sz w:val="28"/>
          <w:szCs w:val="28"/>
        </w:rPr>
      </w:pPr>
      <w:r w:rsidRPr="002F6F9B">
        <w:rPr>
          <w:sz w:val="28"/>
          <w:szCs w:val="28"/>
        </w:rPr>
        <w:t>Наибольшей популярностью пользуются страховые полисы от укуса э</w:t>
      </w:r>
      <w:r w:rsidRPr="002F6F9B">
        <w:rPr>
          <w:sz w:val="28"/>
          <w:szCs w:val="28"/>
        </w:rPr>
        <w:t>н</w:t>
      </w:r>
      <w:r w:rsidRPr="002F6F9B">
        <w:rPr>
          <w:sz w:val="28"/>
          <w:szCs w:val="28"/>
        </w:rPr>
        <w:t>цефалитного клеща. Это очень злободневный для региона вопрос, т.к. только в прошедшем году, по данным Минздрава, в медицинские организации обрат</w:t>
      </w:r>
      <w:r w:rsidRPr="002F6F9B">
        <w:rPr>
          <w:sz w:val="28"/>
          <w:szCs w:val="28"/>
        </w:rPr>
        <w:t>и</w:t>
      </w:r>
      <w:r w:rsidRPr="002F6F9B">
        <w:rPr>
          <w:sz w:val="28"/>
          <w:szCs w:val="28"/>
        </w:rPr>
        <w:t xml:space="preserve">лись </w:t>
      </w:r>
      <w:r>
        <w:rPr>
          <w:sz w:val="28"/>
          <w:szCs w:val="28"/>
        </w:rPr>
        <w:t>более 11 тысяч</w:t>
      </w:r>
      <w:r w:rsidRPr="002F6F9B">
        <w:rPr>
          <w:sz w:val="28"/>
          <w:szCs w:val="28"/>
        </w:rPr>
        <w:t xml:space="preserve"> человек, пострадавших от присасывания клещей. </w:t>
      </w:r>
      <w:r>
        <w:rPr>
          <w:sz w:val="28"/>
          <w:szCs w:val="28"/>
        </w:rPr>
        <w:t>Более 30</w:t>
      </w:r>
      <w:r w:rsidRPr="002F6F9B">
        <w:rPr>
          <w:sz w:val="28"/>
          <w:szCs w:val="28"/>
        </w:rPr>
        <w:t xml:space="preserve"> человек заболел</w:t>
      </w:r>
      <w:r>
        <w:rPr>
          <w:sz w:val="28"/>
          <w:szCs w:val="28"/>
        </w:rPr>
        <w:t>и</w:t>
      </w:r>
      <w:r w:rsidRPr="002F6F9B">
        <w:rPr>
          <w:sz w:val="28"/>
          <w:szCs w:val="28"/>
        </w:rPr>
        <w:t xml:space="preserve"> клещевым вирусным энцефалитом. У 46% заболевших были тяжелые формы заболевания, два случая закончились летально.</w:t>
      </w:r>
      <w:r>
        <w:rPr>
          <w:sz w:val="28"/>
          <w:szCs w:val="28"/>
        </w:rPr>
        <w:t xml:space="preserve"> </w:t>
      </w:r>
      <w:r w:rsidRPr="002F6F9B">
        <w:rPr>
          <w:sz w:val="28"/>
          <w:szCs w:val="28"/>
        </w:rPr>
        <w:t>Поэтому данная услуга с каждым годом набирает всё большую популярность: только в 2017 г</w:t>
      </w:r>
      <w:r w:rsidRPr="002F6F9B">
        <w:rPr>
          <w:sz w:val="28"/>
          <w:szCs w:val="28"/>
        </w:rPr>
        <w:t>о</w:t>
      </w:r>
      <w:r w:rsidRPr="002F6F9B">
        <w:rPr>
          <w:sz w:val="28"/>
          <w:szCs w:val="28"/>
        </w:rPr>
        <w:t xml:space="preserve">ду </w:t>
      </w:r>
      <w:r>
        <w:rPr>
          <w:sz w:val="28"/>
          <w:szCs w:val="28"/>
        </w:rPr>
        <w:t xml:space="preserve">было застраховано 24 тысячи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для </w:t>
      </w:r>
      <w:r w:rsidRPr="002F6F9B">
        <w:rPr>
          <w:sz w:val="28"/>
          <w:szCs w:val="28"/>
        </w:rPr>
        <w:t>сравне</w:t>
      </w:r>
      <w:r>
        <w:rPr>
          <w:sz w:val="28"/>
          <w:szCs w:val="28"/>
        </w:rPr>
        <w:t>ния: в 2016 г. - 22000 чел.)</w:t>
      </w:r>
      <w:r w:rsidRPr="002F6F9B">
        <w:rPr>
          <w:sz w:val="28"/>
          <w:szCs w:val="28"/>
        </w:rPr>
        <w:t>.</w:t>
      </w:r>
    </w:p>
    <w:p w:rsidR="00463C5A" w:rsidRDefault="00463C5A" w:rsidP="00463C5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краевым комитетом заключено Соглашение </w:t>
      </w:r>
      <w:r w:rsidRPr="000438CD">
        <w:rPr>
          <w:sz w:val="28"/>
          <w:szCs w:val="28"/>
        </w:rPr>
        <w:t>между Алта</w:t>
      </w:r>
      <w:r w:rsidRPr="000438CD">
        <w:rPr>
          <w:sz w:val="28"/>
          <w:szCs w:val="28"/>
        </w:rPr>
        <w:t>й</w:t>
      </w:r>
      <w:r w:rsidRPr="000438CD">
        <w:rPr>
          <w:sz w:val="28"/>
          <w:szCs w:val="28"/>
        </w:rPr>
        <w:t>ской краевой организацией Профсоюза и Страховой компанией «ВСК»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0438CD">
        <w:rPr>
          <w:sz w:val="28"/>
          <w:szCs w:val="28"/>
        </w:rPr>
        <w:t>Б</w:t>
      </w:r>
      <w:proofErr w:type="gramEnd"/>
      <w:r w:rsidRPr="000438CD">
        <w:rPr>
          <w:sz w:val="28"/>
          <w:szCs w:val="28"/>
        </w:rPr>
        <w:t>арнаул</w:t>
      </w:r>
      <w:r>
        <w:rPr>
          <w:sz w:val="28"/>
          <w:szCs w:val="28"/>
        </w:rPr>
        <w:t>». В его рамках осуществляется взаимовыгодное сотрудничество</w:t>
      </w:r>
      <w:r w:rsidRPr="00C84C0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4C05">
        <w:rPr>
          <w:sz w:val="28"/>
          <w:szCs w:val="28"/>
        </w:rPr>
        <w:t>т</w:t>
      </w:r>
      <w:r w:rsidRPr="00C84C05">
        <w:rPr>
          <w:sz w:val="28"/>
          <w:szCs w:val="28"/>
        </w:rPr>
        <w:t>о</w:t>
      </w:r>
      <w:r w:rsidRPr="00C84C05">
        <w:rPr>
          <w:sz w:val="28"/>
          <w:szCs w:val="28"/>
        </w:rPr>
        <w:t>рон в сфере страхования</w:t>
      </w:r>
      <w:r>
        <w:rPr>
          <w:sz w:val="28"/>
          <w:szCs w:val="28"/>
        </w:rPr>
        <w:t xml:space="preserve"> членов Общероссийского Профсоюза образования на территории Алтайского края и членов их семей.</w:t>
      </w:r>
    </w:p>
    <w:p w:rsidR="009942FE" w:rsidRDefault="009942FE" w:rsidP="00463C5A">
      <w:pPr>
        <w:pStyle w:val="ac"/>
        <w:ind w:left="0" w:firstLine="709"/>
        <w:jc w:val="both"/>
        <w:rPr>
          <w:sz w:val="28"/>
          <w:szCs w:val="28"/>
        </w:rPr>
      </w:pPr>
    </w:p>
    <w:p w:rsidR="00463C5A" w:rsidRDefault="00463C5A" w:rsidP="009942FE">
      <w:pPr>
        <w:spacing w:after="0" w:line="240" w:lineRule="auto"/>
        <w:jc w:val="right"/>
        <w:rPr>
          <w:i/>
          <w:sz w:val="24"/>
          <w:szCs w:val="28"/>
        </w:rPr>
      </w:pPr>
      <w:r w:rsidRPr="009942FE">
        <w:rPr>
          <w:i/>
          <w:sz w:val="24"/>
          <w:szCs w:val="28"/>
        </w:rPr>
        <w:t>Диаграмма 1. Страхование членов Профсоюза страховой компанией «ВСК» по программе «</w:t>
      </w:r>
      <w:proofErr w:type="spellStart"/>
      <w:r w:rsidRPr="009942FE">
        <w:rPr>
          <w:i/>
          <w:sz w:val="24"/>
          <w:szCs w:val="28"/>
        </w:rPr>
        <w:t>Антиклещ</w:t>
      </w:r>
      <w:proofErr w:type="spellEnd"/>
      <w:r w:rsidRPr="009942FE">
        <w:rPr>
          <w:i/>
          <w:sz w:val="24"/>
          <w:szCs w:val="28"/>
        </w:rPr>
        <w:t>», застрахованных чел.</w:t>
      </w:r>
    </w:p>
    <w:p w:rsidR="009942FE" w:rsidRPr="009942FE" w:rsidRDefault="009942FE" w:rsidP="009942FE">
      <w:pPr>
        <w:spacing w:after="0" w:line="240" w:lineRule="auto"/>
        <w:jc w:val="right"/>
        <w:rPr>
          <w:i/>
          <w:sz w:val="24"/>
          <w:szCs w:val="28"/>
        </w:rPr>
      </w:pPr>
    </w:p>
    <w:p w:rsidR="00463C5A" w:rsidRPr="00133D87" w:rsidRDefault="00463C5A" w:rsidP="009942FE">
      <w:pPr>
        <w:spacing w:after="0" w:line="240" w:lineRule="auto"/>
        <w:jc w:val="center"/>
        <w:rPr>
          <w:sz w:val="28"/>
          <w:szCs w:val="28"/>
        </w:rPr>
      </w:pPr>
      <w:r w:rsidRPr="0072070C">
        <w:rPr>
          <w:noProof/>
          <w:sz w:val="28"/>
          <w:szCs w:val="28"/>
          <w:lang w:eastAsia="ru-RU"/>
        </w:rPr>
        <w:drawing>
          <wp:inline distT="0" distB="0" distL="0" distR="0">
            <wp:extent cx="3239966" cy="1553308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3C5A" w:rsidRDefault="00463C5A" w:rsidP="009942FE">
      <w:pPr>
        <w:pStyle w:val="ac"/>
        <w:ind w:left="0" w:firstLine="709"/>
        <w:jc w:val="both"/>
        <w:rPr>
          <w:sz w:val="28"/>
          <w:szCs w:val="28"/>
        </w:rPr>
      </w:pPr>
    </w:p>
    <w:p w:rsidR="00463C5A" w:rsidRPr="009942FE" w:rsidRDefault="00463C5A" w:rsidP="009942FE">
      <w:pPr>
        <w:pStyle w:val="ac"/>
        <w:ind w:left="0" w:firstLine="709"/>
        <w:jc w:val="right"/>
        <w:rPr>
          <w:i/>
          <w:szCs w:val="28"/>
        </w:rPr>
      </w:pPr>
      <w:r w:rsidRPr="009942FE">
        <w:rPr>
          <w:i/>
          <w:szCs w:val="28"/>
        </w:rPr>
        <w:lastRenderedPageBreak/>
        <w:t>Диаграмма 2. Районные и городские организации – лидеры по количеству застрах</w:t>
      </w:r>
      <w:r w:rsidRPr="009942FE">
        <w:rPr>
          <w:i/>
          <w:szCs w:val="28"/>
        </w:rPr>
        <w:t>о</w:t>
      </w:r>
      <w:r w:rsidRPr="009942FE">
        <w:rPr>
          <w:i/>
          <w:szCs w:val="28"/>
        </w:rPr>
        <w:t>ванных членов Профсоюза в «ВСК», чел.</w:t>
      </w:r>
    </w:p>
    <w:p w:rsidR="00463C5A" w:rsidRDefault="00463C5A" w:rsidP="009942FE">
      <w:pPr>
        <w:pStyle w:val="ac"/>
        <w:ind w:left="0" w:firstLine="709"/>
        <w:jc w:val="both"/>
        <w:rPr>
          <w:i/>
          <w:sz w:val="28"/>
          <w:szCs w:val="28"/>
        </w:rPr>
      </w:pPr>
    </w:p>
    <w:p w:rsidR="00463C5A" w:rsidRPr="00F01F1E" w:rsidRDefault="00463C5A" w:rsidP="00463C5A">
      <w:pPr>
        <w:pStyle w:val="ac"/>
        <w:ind w:left="0" w:firstLine="709"/>
        <w:jc w:val="center"/>
        <w:rPr>
          <w:i/>
          <w:sz w:val="28"/>
          <w:szCs w:val="28"/>
        </w:rPr>
      </w:pPr>
      <w:r w:rsidRPr="00F01F1E">
        <w:rPr>
          <w:i/>
          <w:noProof/>
          <w:sz w:val="28"/>
          <w:szCs w:val="28"/>
        </w:rPr>
        <w:drawing>
          <wp:inline distT="0" distB="0" distL="0" distR="0">
            <wp:extent cx="4013688" cy="1359877"/>
            <wp:effectExtent l="19050" t="0" r="5862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C5A" w:rsidRDefault="00463C5A" w:rsidP="00463C5A">
      <w:pPr>
        <w:pStyle w:val="ac"/>
        <w:ind w:left="0" w:firstLine="709"/>
        <w:jc w:val="both"/>
        <w:rPr>
          <w:sz w:val="28"/>
          <w:szCs w:val="28"/>
        </w:rPr>
      </w:pPr>
    </w:p>
    <w:p w:rsidR="009942FE" w:rsidRDefault="00463C5A" w:rsidP="00463C5A">
      <w:pPr>
        <w:pStyle w:val="ac"/>
        <w:ind w:left="0" w:firstLine="709"/>
        <w:jc w:val="both"/>
        <w:rPr>
          <w:sz w:val="28"/>
          <w:szCs w:val="28"/>
        </w:rPr>
      </w:pPr>
      <w:r w:rsidRPr="002F6F9B">
        <w:rPr>
          <w:sz w:val="28"/>
          <w:szCs w:val="28"/>
        </w:rPr>
        <w:t xml:space="preserve">С </w:t>
      </w:r>
      <w:r w:rsidR="009942FE">
        <w:rPr>
          <w:sz w:val="28"/>
          <w:szCs w:val="28"/>
        </w:rPr>
        <w:t>2020 г. территориальные профсоюзные организации также сотрудн</w:t>
      </w:r>
      <w:r w:rsidR="009942FE">
        <w:rPr>
          <w:sz w:val="28"/>
          <w:szCs w:val="28"/>
        </w:rPr>
        <w:t>и</w:t>
      </w:r>
      <w:r w:rsidR="009942FE">
        <w:rPr>
          <w:sz w:val="28"/>
          <w:szCs w:val="28"/>
        </w:rPr>
        <w:t>чают в деле страхования членов Профсоюза со страховой компанией «СОГАЗ».</w:t>
      </w:r>
    </w:p>
    <w:p w:rsidR="00463C5A" w:rsidRPr="002F6F9B" w:rsidRDefault="00463C5A" w:rsidP="00463C5A">
      <w:pPr>
        <w:pStyle w:val="ac"/>
        <w:ind w:left="0" w:firstLine="709"/>
        <w:jc w:val="both"/>
        <w:rPr>
          <w:sz w:val="28"/>
          <w:szCs w:val="28"/>
        </w:rPr>
      </w:pPr>
      <w:r w:rsidRPr="002F6F9B">
        <w:rPr>
          <w:sz w:val="28"/>
          <w:szCs w:val="28"/>
        </w:rPr>
        <w:t>2018 года по инициативе краевого комитета на базе Барнаульской горо</w:t>
      </w:r>
      <w:r w:rsidRPr="002F6F9B">
        <w:rPr>
          <w:sz w:val="28"/>
          <w:szCs w:val="28"/>
        </w:rPr>
        <w:t>д</w:t>
      </w:r>
      <w:r w:rsidRPr="002F6F9B">
        <w:rPr>
          <w:sz w:val="28"/>
          <w:szCs w:val="28"/>
        </w:rPr>
        <w:t>ской организации Профсоюза апробируется инновационная программа «Про</w:t>
      </w:r>
      <w:r w:rsidRPr="002F6F9B">
        <w:rPr>
          <w:sz w:val="28"/>
          <w:szCs w:val="28"/>
        </w:rPr>
        <w:t>ф</w:t>
      </w:r>
      <w:r w:rsidRPr="002F6F9B">
        <w:rPr>
          <w:sz w:val="28"/>
          <w:szCs w:val="28"/>
        </w:rPr>
        <w:t>союзная улыбка», согласно которой членам Профсоюза и членам их семей пр</w:t>
      </w:r>
      <w:r w:rsidRPr="002F6F9B">
        <w:rPr>
          <w:sz w:val="28"/>
          <w:szCs w:val="28"/>
        </w:rPr>
        <w:t>е</w:t>
      </w:r>
      <w:r w:rsidRPr="002F6F9B">
        <w:rPr>
          <w:sz w:val="28"/>
          <w:szCs w:val="28"/>
        </w:rPr>
        <w:t>доставляются качественные стоматологические услуги с профсоюзной скидкой или профсоюзной рассрочкой</w:t>
      </w:r>
      <w:r>
        <w:rPr>
          <w:sz w:val="28"/>
          <w:szCs w:val="28"/>
        </w:rPr>
        <w:t>.</w:t>
      </w:r>
    </w:p>
    <w:p w:rsidR="00463C5A" w:rsidRDefault="00463C5A" w:rsidP="00463C5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Запущена программа </w:t>
      </w:r>
      <w:r w:rsidRPr="002F6F9B">
        <w:rPr>
          <w:sz w:val="28"/>
          <w:szCs w:val="28"/>
        </w:rPr>
        <w:t>«Профсоюзная рассрочка»</w:t>
      </w:r>
      <w:r>
        <w:rPr>
          <w:sz w:val="28"/>
          <w:szCs w:val="28"/>
        </w:rPr>
        <w:t xml:space="preserve">, </w:t>
      </w:r>
      <w:r w:rsidRPr="002F6F9B">
        <w:rPr>
          <w:sz w:val="28"/>
          <w:szCs w:val="28"/>
        </w:rPr>
        <w:t>в рамках которой стом</w:t>
      </w:r>
      <w:r w:rsidRPr="002F6F9B">
        <w:rPr>
          <w:sz w:val="28"/>
          <w:szCs w:val="28"/>
        </w:rPr>
        <w:t>а</w:t>
      </w:r>
      <w:r w:rsidRPr="002F6F9B">
        <w:rPr>
          <w:sz w:val="28"/>
          <w:szCs w:val="28"/>
        </w:rPr>
        <w:t>тологическая клиника или санаторий (торговые организации) предоставляют скидку на свои услуги при их приобретении членом профсоюза за счет банко</w:t>
      </w:r>
      <w:r w:rsidRPr="002F6F9B">
        <w:rPr>
          <w:sz w:val="28"/>
          <w:szCs w:val="28"/>
        </w:rPr>
        <w:t>в</w:t>
      </w:r>
      <w:r w:rsidRPr="002F6F9B">
        <w:rPr>
          <w:sz w:val="28"/>
          <w:szCs w:val="28"/>
        </w:rPr>
        <w:t>ского кредита. При этом проценты по кредиту на период рассрочки уплачивает за члена профсоюза торговая организация без удорожания стоимости самих у</w:t>
      </w:r>
      <w:r w:rsidRPr="002F6F9B">
        <w:rPr>
          <w:sz w:val="28"/>
          <w:szCs w:val="28"/>
        </w:rPr>
        <w:t>с</w:t>
      </w:r>
      <w:r w:rsidRPr="002F6F9B">
        <w:rPr>
          <w:sz w:val="28"/>
          <w:szCs w:val="28"/>
        </w:rPr>
        <w:t>луг.</w:t>
      </w:r>
      <w:r w:rsidR="009942F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F6F9B">
        <w:rPr>
          <w:sz w:val="28"/>
          <w:szCs w:val="28"/>
        </w:rPr>
        <w:t xml:space="preserve"> 2019 года, </w:t>
      </w:r>
      <w:r>
        <w:rPr>
          <w:sz w:val="28"/>
          <w:szCs w:val="28"/>
        </w:rPr>
        <w:t xml:space="preserve">помимо стоматологических клиник, </w:t>
      </w:r>
      <w:r w:rsidRPr="002F6F9B">
        <w:rPr>
          <w:sz w:val="28"/>
          <w:szCs w:val="28"/>
        </w:rPr>
        <w:t>в программу «Профсою</w:t>
      </w:r>
      <w:r w:rsidRPr="002F6F9B">
        <w:rPr>
          <w:sz w:val="28"/>
          <w:szCs w:val="28"/>
        </w:rPr>
        <w:t>з</w:t>
      </w:r>
      <w:r w:rsidRPr="002F6F9B">
        <w:rPr>
          <w:sz w:val="28"/>
          <w:szCs w:val="28"/>
        </w:rPr>
        <w:t xml:space="preserve">ная рассрочка» </w:t>
      </w:r>
      <w:r>
        <w:rPr>
          <w:sz w:val="28"/>
          <w:szCs w:val="28"/>
        </w:rPr>
        <w:t xml:space="preserve">вошёл </w:t>
      </w:r>
      <w:r w:rsidRPr="002F6F9B">
        <w:rPr>
          <w:sz w:val="28"/>
          <w:szCs w:val="28"/>
        </w:rPr>
        <w:t>санаторий «Сосновый бор», пользующийся большой п</w:t>
      </w:r>
      <w:r w:rsidRPr="002F6F9B">
        <w:rPr>
          <w:sz w:val="28"/>
          <w:szCs w:val="28"/>
        </w:rPr>
        <w:t>о</w:t>
      </w:r>
      <w:r w:rsidRPr="002F6F9B">
        <w:rPr>
          <w:sz w:val="28"/>
          <w:szCs w:val="28"/>
        </w:rPr>
        <w:t>пулярностью</w:t>
      </w:r>
      <w:r>
        <w:rPr>
          <w:sz w:val="28"/>
          <w:szCs w:val="28"/>
        </w:rPr>
        <w:t>.</w:t>
      </w:r>
      <w:r w:rsidRPr="002F6F9B">
        <w:rPr>
          <w:sz w:val="28"/>
          <w:szCs w:val="28"/>
        </w:rPr>
        <w:t xml:space="preserve"> </w:t>
      </w:r>
    </w:p>
    <w:p w:rsidR="00463C5A" w:rsidRDefault="00463C5A" w:rsidP="00463C5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Отзывы членов Профсоюза показывают, что дополнительное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 страхование имеет большой потенциал для повышения мотивации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союзного членства и качества жизни членов Профсоюза.</w:t>
      </w:r>
    </w:p>
    <w:p w:rsidR="00463C5A" w:rsidRDefault="00463C5A" w:rsidP="00463C5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, президиум краевой организации Профсоюза </w:t>
      </w:r>
    </w:p>
    <w:p w:rsidR="00485BB6" w:rsidRPr="00D41523" w:rsidRDefault="00485BB6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D41523" w:rsidRPr="00D41523" w:rsidRDefault="00D41523" w:rsidP="00D4152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в л я е т </w:t>
      </w:r>
      <w:r w:rsidRPr="00D41523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D41523" w:rsidRPr="00D41523" w:rsidRDefault="00D41523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B960DB" w:rsidRDefault="00D41523" w:rsidP="00280FE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D41523">
        <w:rPr>
          <w:rFonts w:ascii="Times New Roman" w:hAnsi="Times New Roman" w:cs="Times New Roman"/>
          <w:sz w:val="28"/>
          <w:szCs w:val="28"/>
          <w:lang w:bidi="en-US"/>
        </w:rPr>
        <w:t xml:space="preserve">1. 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Районным, городским и первичным организациям Профсоюза ко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м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 xml:space="preserve">плексно развивать </w:t>
      </w:r>
      <w:r w:rsidR="00280FED">
        <w:rPr>
          <w:rFonts w:ascii="Times New Roman" w:hAnsi="Times New Roman" w:cs="Times New Roman"/>
          <w:sz w:val="28"/>
          <w:szCs w:val="28"/>
          <w:lang w:bidi="en-US"/>
        </w:rPr>
        <w:t xml:space="preserve">как 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зарекомендовавшие себя формы солидарной поддержки членов Профсоюза</w:t>
      </w:r>
      <w:r w:rsidR="00280FED">
        <w:rPr>
          <w:rFonts w:ascii="Times New Roman" w:hAnsi="Times New Roman" w:cs="Times New Roman"/>
          <w:sz w:val="28"/>
          <w:szCs w:val="28"/>
          <w:lang w:bidi="en-US"/>
        </w:rPr>
        <w:t>, такие, как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80FED">
        <w:rPr>
          <w:rFonts w:ascii="Times New Roman" w:hAnsi="Times New Roman" w:cs="Times New Roman"/>
          <w:sz w:val="28"/>
          <w:szCs w:val="28"/>
          <w:lang w:bidi="en-US"/>
        </w:rPr>
        <w:t xml:space="preserve">беспроцентные займы, </w:t>
      </w:r>
      <w:r w:rsidR="00B960DB">
        <w:rPr>
          <w:rFonts w:ascii="Times New Roman" w:hAnsi="Times New Roman" w:cs="Times New Roman"/>
          <w:sz w:val="28"/>
          <w:szCs w:val="28"/>
          <w:lang w:bidi="en-US"/>
        </w:rPr>
        <w:t xml:space="preserve">так и 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дополнительное м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 xml:space="preserve">дицинское страхование, </w:t>
      </w:r>
      <w:r w:rsidR="00B960DB">
        <w:rPr>
          <w:rFonts w:ascii="Times New Roman" w:hAnsi="Times New Roman" w:cs="Times New Roman"/>
          <w:sz w:val="28"/>
          <w:szCs w:val="28"/>
          <w:lang w:bidi="en-US"/>
        </w:rPr>
        <w:t>кредитное потребительское кредитование через про</w:t>
      </w:r>
      <w:r w:rsidR="00B960DB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="00B960DB">
        <w:rPr>
          <w:rFonts w:ascii="Times New Roman" w:hAnsi="Times New Roman" w:cs="Times New Roman"/>
          <w:sz w:val="28"/>
          <w:szCs w:val="28"/>
          <w:lang w:bidi="en-US"/>
        </w:rPr>
        <w:t xml:space="preserve">союзный кооператив. </w:t>
      </w:r>
    </w:p>
    <w:p w:rsidR="00EA7D14" w:rsidRDefault="00EA7D14" w:rsidP="00280FE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Ответственные: председатели территориальных и первичных профорг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низаций.</w:t>
      </w:r>
    </w:p>
    <w:p w:rsidR="00EA7D14" w:rsidRDefault="00EA7D14" w:rsidP="00280FE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Срок: 2021-2022 гг.</w:t>
      </w:r>
    </w:p>
    <w:p w:rsidR="00280FED" w:rsidRDefault="00B960DB" w:rsidP="00280FE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2. Обеспечить 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рационально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 xml:space="preserve"> сре</w:t>
      </w:r>
      <w:proofErr w:type="gramStart"/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дств пр</w:t>
      </w:r>
      <w:proofErr w:type="gramEnd"/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офсоюзного бю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д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жета перенаправлением их со статей «Культурно-массовая работа» и «Матер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альная помощь»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на развитие инновационных форм солидарной поддержки чл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нов Профсоюза. 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Добиться в 2021 году наличия программ беспроцентных за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мов для членов Профсоюза в каждой районной и городской</w:t>
      </w:r>
      <w:r>
        <w:rPr>
          <w:rFonts w:ascii="Times New Roman" w:hAnsi="Times New Roman" w:cs="Times New Roman"/>
          <w:sz w:val="28"/>
          <w:szCs w:val="28"/>
          <w:lang w:bidi="en-US"/>
        </w:rPr>
        <w:t>, первичной (вузы) организации Профсоюза</w:t>
      </w:r>
      <w:r w:rsidR="00280FED" w:rsidRPr="00280FE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EA7D14" w:rsidRDefault="00EA7D14" w:rsidP="00EA7D1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Ответственные: председатели территориальных и первичных профорг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низаций.</w:t>
      </w:r>
    </w:p>
    <w:p w:rsidR="00EA7D14" w:rsidRDefault="00EA7D14" w:rsidP="00EA7D1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Срок: 2021 г.</w:t>
      </w:r>
    </w:p>
    <w:p w:rsidR="00B960DB" w:rsidRDefault="00B960DB" w:rsidP="00280FE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3. Поддержать межрегиональное сотрудничество Алтайской краевой и Чувашской республиканской организаций Профсоюза в деле кредитной потр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бительской кооперации</w:t>
      </w:r>
      <w:r w:rsidR="00EA7D14">
        <w:rPr>
          <w:rFonts w:ascii="Times New Roman" w:hAnsi="Times New Roman" w:cs="Times New Roman"/>
          <w:sz w:val="28"/>
          <w:szCs w:val="28"/>
          <w:lang w:bidi="en-US"/>
        </w:rPr>
        <w:t xml:space="preserve"> через механизм заключения договорных отношений между КПК «Учительский», краевой и территориальными организациями Профсоюза.</w:t>
      </w:r>
    </w:p>
    <w:p w:rsidR="00EA7D14" w:rsidRDefault="00EA7D14" w:rsidP="00280FE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Ответственные: аппарат комитета краевой организации (Ю.Г. Абдулл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ев), президиум краевой организации.</w:t>
      </w:r>
    </w:p>
    <w:p w:rsidR="00EA7D14" w:rsidRDefault="00EA7D14" w:rsidP="00280FE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Срок: 2021 г.</w:t>
      </w:r>
    </w:p>
    <w:p w:rsidR="00D41523" w:rsidRPr="00D41523" w:rsidRDefault="00280FED" w:rsidP="00280FE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280FED">
        <w:rPr>
          <w:rFonts w:ascii="Times New Roman" w:hAnsi="Times New Roman" w:cs="Times New Roman"/>
          <w:sz w:val="28"/>
          <w:szCs w:val="28"/>
          <w:lang w:bidi="en-US"/>
        </w:rPr>
        <w:t xml:space="preserve">4. </w:t>
      </w:r>
      <w:proofErr w:type="gramStart"/>
      <w:r w:rsidRPr="00280FED">
        <w:rPr>
          <w:rFonts w:ascii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280FED">
        <w:rPr>
          <w:rFonts w:ascii="Times New Roman" w:hAnsi="Times New Roman" w:cs="Times New Roman"/>
          <w:sz w:val="28"/>
          <w:szCs w:val="28"/>
          <w:lang w:bidi="en-US"/>
        </w:rPr>
        <w:t xml:space="preserve"> исполнением постановления возложить на заместителя председателя по труду, заработной плате и финансовой работе, главного бу</w:t>
      </w:r>
      <w:r w:rsidRPr="00280FED"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Pr="00280FED">
        <w:rPr>
          <w:rFonts w:ascii="Times New Roman" w:hAnsi="Times New Roman" w:cs="Times New Roman"/>
          <w:sz w:val="28"/>
          <w:szCs w:val="28"/>
          <w:lang w:bidi="en-US"/>
        </w:rPr>
        <w:t>галтера В.Н. Мерзлякову.</w:t>
      </w:r>
    </w:p>
    <w:p w:rsidR="00D41523" w:rsidRPr="00D41523" w:rsidRDefault="00D41523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D41523" w:rsidRDefault="00B75538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211.25pt;margin-top:4.4pt;width:150pt;height:89.55pt;z-index:251658240" arcsize="10923f">
            <v:textbox style="mso-next-textbox:#_x0000_s1026">
              <w:txbxContent>
                <w:p w:rsidR="00B75538" w:rsidRPr="00BC33D1" w:rsidRDefault="00B75538" w:rsidP="00B75538">
                  <w:pPr>
                    <w:spacing w:line="240" w:lineRule="exact"/>
                    <w:jc w:val="left"/>
                    <w:rPr>
                      <w:sz w:val="20"/>
                    </w:rPr>
                  </w:pPr>
                  <w:r w:rsidRPr="00BC33D1">
                    <w:rPr>
                      <w:sz w:val="20"/>
                    </w:rPr>
                    <w:t>ПОДПИСАНО</w:t>
                  </w:r>
                  <w:r>
                    <w:rPr>
                      <w:sz w:val="20"/>
                    </w:rPr>
                    <w:t xml:space="preserve"> </w:t>
                  </w:r>
                  <w:r w:rsidRPr="00BC33D1">
                    <w:rPr>
                      <w:sz w:val="20"/>
                    </w:rPr>
                    <w:t>ЭЛЕКТРОННОЙ ПОДПИСЬЮ</w:t>
                  </w:r>
                </w:p>
                <w:p w:rsidR="00B75538" w:rsidRPr="00BC33D1" w:rsidRDefault="00B75538" w:rsidP="00B75538">
                  <w:pPr>
                    <w:spacing w:line="240" w:lineRule="exact"/>
                    <w:jc w:val="left"/>
                    <w:rPr>
                      <w:sz w:val="20"/>
                    </w:rPr>
                  </w:pPr>
                  <w:r w:rsidRPr="00BC33D1">
                    <w:rPr>
                      <w:sz w:val="20"/>
                    </w:rPr>
                    <w:t>Оригинал хранится в</w:t>
                  </w:r>
                  <w:r>
                    <w:rPr>
                      <w:sz w:val="20"/>
                    </w:rPr>
                    <w:t xml:space="preserve"> к</w:t>
                  </w:r>
                  <w:r w:rsidRPr="00BC33D1">
                    <w:rPr>
                      <w:sz w:val="20"/>
                    </w:rPr>
                    <w:t>омитете Алтайской</w:t>
                  </w:r>
                  <w:r>
                    <w:rPr>
                      <w:sz w:val="20"/>
                    </w:rPr>
                    <w:t xml:space="preserve"> </w:t>
                  </w:r>
                  <w:r w:rsidRPr="00BC33D1">
                    <w:rPr>
                      <w:sz w:val="20"/>
                    </w:rPr>
                    <w:t>краевой организации Профсоюза</w:t>
                  </w:r>
                </w:p>
              </w:txbxContent>
            </v:textbox>
          </v:roundrect>
        </w:pict>
      </w:r>
    </w:p>
    <w:p w:rsidR="00FC77DE" w:rsidRDefault="00FC77DE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C77DE" w:rsidRPr="00D41523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 Ю.Г. Абдуллаев</w:t>
      </w:r>
    </w:p>
    <w:sectPr w:rsidR="00FC77DE" w:rsidRPr="00D41523" w:rsidSect="00D56ADD">
      <w:pgSz w:w="11906" w:h="16838" w:code="9"/>
      <w:pgMar w:top="851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AF" w:rsidRDefault="00671DAF" w:rsidP="005C7E9B">
      <w:pPr>
        <w:spacing w:after="0" w:line="240" w:lineRule="auto"/>
      </w:pPr>
      <w:r>
        <w:separator/>
      </w:r>
    </w:p>
  </w:endnote>
  <w:endnote w:type="continuationSeparator" w:id="0">
    <w:p w:rsidR="00671DAF" w:rsidRDefault="00671DAF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AF" w:rsidRDefault="00671DAF" w:rsidP="005C7E9B">
      <w:pPr>
        <w:spacing w:after="0" w:line="240" w:lineRule="auto"/>
      </w:pPr>
      <w:r>
        <w:separator/>
      </w:r>
    </w:p>
  </w:footnote>
  <w:footnote w:type="continuationSeparator" w:id="0">
    <w:p w:rsidR="00671DAF" w:rsidRDefault="00671DAF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53898"/>
    <w:rsid w:val="0005402A"/>
    <w:rsid w:val="000543F9"/>
    <w:rsid w:val="00094956"/>
    <w:rsid w:val="000E2936"/>
    <w:rsid w:val="0011123B"/>
    <w:rsid w:val="001138E3"/>
    <w:rsid w:val="00120775"/>
    <w:rsid w:val="00120D69"/>
    <w:rsid w:val="00125056"/>
    <w:rsid w:val="001256D0"/>
    <w:rsid w:val="00141A62"/>
    <w:rsid w:val="0017324A"/>
    <w:rsid w:val="001A095F"/>
    <w:rsid w:val="001A2EB4"/>
    <w:rsid w:val="001D0CCF"/>
    <w:rsid w:val="00213929"/>
    <w:rsid w:val="00252B09"/>
    <w:rsid w:val="00280FED"/>
    <w:rsid w:val="00285881"/>
    <w:rsid w:val="002A19E0"/>
    <w:rsid w:val="002A2D4E"/>
    <w:rsid w:val="002E3E79"/>
    <w:rsid w:val="002E59A0"/>
    <w:rsid w:val="00322996"/>
    <w:rsid w:val="00337D81"/>
    <w:rsid w:val="00342827"/>
    <w:rsid w:val="003526AA"/>
    <w:rsid w:val="003A4AA4"/>
    <w:rsid w:val="003A6250"/>
    <w:rsid w:val="003B6D5B"/>
    <w:rsid w:val="003D2DA1"/>
    <w:rsid w:val="003D4810"/>
    <w:rsid w:val="00412CF9"/>
    <w:rsid w:val="00415ED6"/>
    <w:rsid w:val="00463C5A"/>
    <w:rsid w:val="00485BB6"/>
    <w:rsid w:val="004900C9"/>
    <w:rsid w:val="00494A76"/>
    <w:rsid w:val="004C4AF4"/>
    <w:rsid w:val="004C7D31"/>
    <w:rsid w:val="004D66AF"/>
    <w:rsid w:val="004E783E"/>
    <w:rsid w:val="004F539C"/>
    <w:rsid w:val="005264CF"/>
    <w:rsid w:val="00562B7F"/>
    <w:rsid w:val="00574583"/>
    <w:rsid w:val="005844B1"/>
    <w:rsid w:val="005C53C2"/>
    <w:rsid w:val="005C7E9B"/>
    <w:rsid w:val="0062206C"/>
    <w:rsid w:val="00633229"/>
    <w:rsid w:val="00635BE4"/>
    <w:rsid w:val="00642C90"/>
    <w:rsid w:val="00663A40"/>
    <w:rsid w:val="00671DAF"/>
    <w:rsid w:val="006A4241"/>
    <w:rsid w:val="006D5004"/>
    <w:rsid w:val="006E0B02"/>
    <w:rsid w:val="006F50AE"/>
    <w:rsid w:val="00742A89"/>
    <w:rsid w:val="007462B0"/>
    <w:rsid w:val="007713FB"/>
    <w:rsid w:val="0078577A"/>
    <w:rsid w:val="007A69E3"/>
    <w:rsid w:val="0080525E"/>
    <w:rsid w:val="008170A4"/>
    <w:rsid w:val="00831535"/>
    <w:rsid w:val="008B5308"/>
    <w:rsid w:val="009138E8"/>
    <w:rsid w:val="00913B4A"/>
    <w:rsid w:val="00926438"/>
    <w:rsid w:val="009671D0"/>
    <w:rsid w:val="009756C4"/>
    <w:rsid w:val="0099023A"/>
    <w:rsid w:val="009942FE"/>
    <w:rsid w:val="009A2DF9"/>
    <w:rsid w:val="009B1713"/>
    <w:rsid w:val="009C05EC"/>
    <w:rsid w:val="009C2B77"/>
    <w:rsid w:val="00A0489C"/>
    <w:rsid w:val="00A04B9A"/>
    <w:rsid w:val="00A13D5C"/>
    <w:rsid w:val="00A25D32"/>
    <w:rsid w:val="00A265DD"/>
    <w:rsid w:val="00A31AAB"/>
    <w:rsid w:val="00A42B75"/>
    <w:rsid w:val="00A45BC5"/>
    <w:rsid w:val="00A46CAC"/>
    <w:rsid w:val="00A50F6D"/>
    <w:rsid w:val="00A53A0C"/>
    <w:rsid w:val="00A625AF"/>
    <w:rsid w:val="00A96AF6"/>
    <w:rsid w:val="00AB1A73"/>
    <w:rsid w:val="00AC2BBE"/>
    <w:rsid w:val="00AD155F"/>
    <w:rsid w:val="00AF222E"/>
    <w:rsid w:val="00B058D1"/>
    <w:rsid w:val="00B1389A"/>
    <w:rsid w:val="00B23C8E"/>
    <w:rsid w:val="00B23FC0"/>
    <w:rsid w:val="00B32BD3"/>
    <w:rsid w:val="00B36611"/>
    <w:rsid w:val="00B43EE2"/>
    <w:rsid w:val="00B61C8C"/>
    <w:rsid w:val="00B62A4B"/>
    <w:rsid w:val="00B75538"/>
    <w:rsid w:val="00B960DB"/>
    <w:rsid w:val="00BD130A"/>
    <w:rsid w:val="00BD1920"/>
    <w:rsid w:val="00BD474C"/>
    <w:rsid w:val="00BE08B3"/>
    <w:rsid w:val="00BF3E82"/>
    <w:rsid w:val="00C10A15"/>
    <w:rsid w:val="00C244F3"/>
    <w:rsid w:val="00C52FF0"/>
    <w:rsid w:val="00C82150"/>
    <w:rsid w:val="00C86FA9"/>
    <w:rsid w:val="00CA0934"/>
    <w:rsid w:val="00CE2449"/>
    <w:rsid w:val="00D41523"/>
    <w:rsid w:val="00D56ADD"/>
    <w:rsid w:val="00D64331"/>
    <w:rsid w:val="00D6639D"/>
    <w:rsid w:val="00D92804"/>
    <w:rsid w:val="00E10298"/>
    <w:rsid w:val="00E2172C"/>
    <w:rsid w:val="00E2330F"/>
    <w:rsid w:val="00E37488"/>
    <w:rsid w:val="00E467DF"/>
    <w:rsid w:val="00E55849"/>
    <w:rsid w:val="00E60655"/>
    <w:rsid w:val="00E73072"/>
    <w:rsid w:val="00E76521"/>
    <w:rsid w:val="00E778C9"/>
    <w:rsid w:val="00EA7D14"/>
    <w:rsid w:val="00EC2FE1"/>
    <w:rsid w:val="00EE0E5A"/>
    <w:rsid w:val="00EE3426"/>
    <w:rsid w:val="00F062F7"/>
    <w:rsid w:val="00F117DF"/>
    <w:rsid w:val="00F52924"/>
    <w:rsid w:val="00F557E8"/>
    <w:rsid w:val="00F86B35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List Paragraph"/>
    <w:basedOn w:val="a"/>
    <w:uiPriority w:val="34"/>
    <w:qFormat/>
    <w:rsid w:val="006E0B02"/>
    <w:pPr>
      <w:suppressAutoHyphens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3.9573820395738195E-2"/>
                  <c:y val="-0.33439490445859882"/>
                </c:manualLayout>
              </c:layout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2617960426179574E-2"/>
                  <c:y val="-0.40339702760085006"/>
                </c:manualLayout>
              </c:layout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6529680365296795E-2"/>
                  <c:y val="-0.39808917197452476"/>
                </c:manualLayout>
              </c:layout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20000</c:v>
                </c:pt>
                <c:pt idx="1">
                  <c:v>28000</c:v>
                </c:pt>
                <c:pt idx="2">
                  <c:v>27000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143067776"/>
        <c:axId val="151524480"/>
        <c:axId val="0"/>
      </c:bar3DChart>
      <c:catAx>
        <c:axId val="1430677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1524480"/>
        <c:crosses val="autoZero"/>
        <c:auto val="1"/>
        <c:lblAlgn val="ctr"/>
        <c:lblOffset val="100"/>
      </c:catAx>
      <c:valAx>
        <c:axId val="1515244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4306777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3777027871516068E-3"/>
                  <c:y val="6.1918058115076044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Барнаульская; 10 158</a:t>
                    </a:r>
                  </a:p>
                </c:rich>
              </c:tx>
              <c:spPr/>
              <c:showVal val="1"/>
              <c:showCatName val="1"/>
              <c:showSerName val="1"/>
            </c:dLbl>
            <c:dLbl>
              <c:idx val="1"/>
              <c:layout>
                <c:manualLayout>
                  <c:x val="-4.3178183669663972E-2"/>
                  <c:y val="0.23195375754709183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Заринская городская; 1982</a:t>
                    </a:r>
                  </a:p>
                </c:rich>
              </c:tx>
              <c:spPr/>
              <c:showVal val="1"/>
              <c:showCatName val="1"/>
              <c:showSerName val="1"/>
            </c:dLbl>
            <c:dLbl>
              <c:idx val="2"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Смоленская районная; 1300</a:t>
                    </a:r>
                  </a:p>
                </c:rich>
              </c:tx>
              <c:spPr/>
              <c:showVal val="1"/>
              <c:showCatName val="1"/>
              <c:showSerName val="1"/>
            </c:dLbl>
            <c:dLbl>
              <c:idx val="3"/>
              <c:layout>
                <c:manualLayout>
                  <c:x val="0.20362544373155064"/>
                  <c:y val="1.5817607033577301E-3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Бийская районная ; 420</a:t>
                    </a:r>
                  </a:p>
                </c:rich>
              </c:tx>
              <c:spPr/>
              <c:showVal val="1"/>
              <c:showCatName val="1"/>
              <c:showSerNam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CatName val="1"/>
            <c:showSer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Барнаульская городская организация Профсоюза</c:v>
                </c:pt>
                <c:pt idx="1">
                  <c:v>Заринская городская организация профсоюза</c:v>
                </c:pt>
                <c:pt idx="2">
                  <c:v>Смоленская районная организация Профсоюза</c:v>
                </c:pt>
                <c:pt idx="3">
                  <c:v>Бийская районная организация Профсоюза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10158</c:v>
                </c:pt>
                <c:pt idx="1">
                  <c:v>1982</c:v>
                </c:pt>
                <c:pt idx="2">
                  <c:v>1300</c:v>
                </c:pt>
                <c:pt idx="3">
                  <c:v>420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9</cp:revision>
  <cp:lastPrinted>2021-03-23T07:58:00Z</cp:lastPrinted>
  <dcterms:created xsi:type="dcterms:W3CDTF">2021-01-26T07:26:00Z</dcterms:created>
  <dcterms:modified xsi:type="dcterms:W3CDTF">2021-07-16T07:07:00Z</dcterms:modified>
</cp:coreProperties>
</file>