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B9" w:rsidRDefault="003055B9" w:rsidP="003055B9">
      <w:pPr>
        <w:pStyle w:val="Default"/>
      </w:pPr>
    </w:p>
    <w:p w:rsidR="00BA7CAF" w:rsidRDefault="003055B9" w:rsidP="0016210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итогах коллективно - договорной кампании за 2021 год</w:t>
      </w:r>
    </w:p>
    <w:p w:rsidR="003055B9" w:rsidRDefault="003055B9" w:rsidP="003055B9">
      <w:pPr>
        <w:pStyle w:val="Default"/>
        <w:rPr>
          <w:b/>
          <w:bCs/>
          <w:sz w:val="28"/>
          <w:szCs w:val="28"/>
        </w:rPr>
      </w:pPr>
    </w:p>
    <w:p w:rsidR="003055B9" w:rsidRDefault="003055B9" w:rsidP="003055B9">
      <w:pPr>
        <w:pStyle w:val="Default"/>
      </w:pPr>
    </w:p>
    <w:p w:rsidR="003055B9" w:rsidRDefault="003055B9" w:rsidP="00162101">
      <w:pPr>
        <w:pStyle w:val="Default"/>
        <w:ind w:firstLine="708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По сведениям об итогах коллективно-договорной кампании, поступившим в Центральный Совет Профсоюза из всех 80 региональных (межрегиональных) организаций Профсоюза, коллективно-договорная кампания в отчетный период прошла с соблюдением установленных порядка и сроков.</w:t>
      </w:r>
    </w:p>
    <w:p w:rsidR="00527DA1" w:rsidRDefault="00527DA1" w:rsidP="0055083A">
      <w:pPr>
        <w:pStyle w:val="Default"/>
        <w:jc w:val="both"/>
      </w:pPr>
      <w:r>
        <w:rPr>
          <w:sz w:val="28"/>
          <w:szCs w:val="28"/>
        </w:rPr>
        <w:tab/>
      </w:r>
    </w:p>
    <w:p w:rsidR="00527DA1" w:rsidRDefault="00527DA1" w:rsidP="0055083A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Заслушав и обсудив информацию об итогах коллективно-договорной кампании в Профсоюзе за 2021 год, Исполнительный комитет Профсоюза отмечает следующее.</w:t>
      </w:r>
    </w:p>
    <w:p w:rsidR="00527DA1" w:rsidRDefault="00527DA1" w:rsidP="0055083A">
      <w:pPr>
        <w:pStyle w:val="Default"/>
        <w:jc w:val="both"/>
      </w:pPr>
      <w:r>
        <w:rPr>
          <w:sz w:val="28"/>
          <w:szCs w:val="28"/>
        </w:rPr>
        <w:tab/>
      </w:r>
    </w:p>
    <w:p w:rsidR="00527DA1" w:rsidRDefault="00527DA1" w:rsidP="00CA3AFE">
      <w:pPr>
        <w:pStyle w:val="Default"/>
        <w:ind w:firstLine="708"/>
        <w:jc w:val="both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На федеральном уровне </w:t>
      </w:r>
      <w:r>
        <w:rPr>
          <w:sz w:val="28"/>
          <w:szCs w:val="28"/>
        </w:rPr>
        <w:t xml:space="preserve">регулирование социально-трудовых отношений в рамках социального партнёрства в 2021 году осуществлялось на основе: </w:t>
      </w:r>
    </w:p>
    <w:p w:rsidR="00527DA1" w:rsidRDefault="00527DA1" w:rsidP="005508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Отраслевого соглашения по организациям, находящимся в ведении Министерства просвещения Российской Федерации, на 2021-2023 годы</w:t>
      </w:r>
      <w:r w:rsidR="00162101">
        <w:rPr>
          <w:sz w:val="28"/>
          <w:szCs w:val="28"/>
        </w:rPr>
        <w:t>.</w:t>
      </w:r>
    </w:p>
    <w:p w:rsidR="00162101" w:rsidRDefault="00162101" w:rsidP="005508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Волгоградской области действует Региональное отраслевое Соглашение между комитетом образования, науки и молодежной политики Волгоградской области и Волгоградской областной организацией Профсоюза работников народного образования и науки РФ на 2020-2022 годы </w:t>
      </w:r>
      <w:r w:rsidR="00CA3AFE">
        <w:rPr>
          <w:sz w:val="28"/>
          <w:szCs w:val="28"/>
        </w:rPr>
        <w:t>(подписано 25 декабря 2019 года), а такж</w:t>
      </w:r>
      <w:r>
        <w:rPr>
          <w:sz w:val="28"/>
          <w:szCs w:val="28"/>
        </w:rPr>
        <w:t>е дополнительное Соглашение к региональному</w:t>
      </w:r>
      <w:r w:rsidR="00CA3AFE" w:rsidRPr="00CA3AFE">
        <w:rPr>
          <w:sz w:val="28"/>
          <w:szCs w:val="28"/>
        </w:rPr>
        <w:t xml:space="preserve"> </w:t>
      </w:r>
      <w:r w:rsidR="00CA3AFE">
        <w:rPr>
          <w:sz w:val="28"/>
          <w:szCs w:val="28"/>
        </w:rPr>
        <w:t>отраслевому Соглашению</w:t>
      </w:r>
      <w:r w:rsidR="00CA3AFE">
        <w:rPr>
          <w:sz w:val="28"/>
          <w:szCs w:val="28"/>
        </w:rPr>
        <w:t xml:space="preserve"> между комитетом образования, науки и молодежной политики Волгоградской области и Волгоградской областной организацией Профсоюза работников народного образования и науки РФ на 2020-2022 годы</w:t>
      </w:r>
      <w:r w:rsidR="00CA3AFE">
        <w:rPr>
          <w:sz w:val="28"/>
          <w:szCs w:val="28"/>
        </w:rPr>
        <w:t xml:space="preserve"> (подписано 27 октября 2021 года).</w:t>
      </w:r>
    </w:p>
    <w:p w:rsidR="00527DA1" w:rsidRDefault="00527DA1" w:rsidP="0055083A">
      <w:pPr>
        <w:pStyle w:val="Default"/>
        <w:jc w:val="both"/>
      </w:pPr>
      <w:r>
        <w:rPr>
          <w:sz w:val="28"/>
          <w:szCs w:val="28"/>
        </w:rPr>
        <w:tab/>
      </w:r>
    </w:p>
    <w:p w:rsidR="00527DA1" w:rsidRDefault="00527DA1" w:rsidP="00CA3AF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На региональном уровне </w:t>
      </w:r>
      <w:r>
        <w:rPr>
          <w:sz w:val="28"/>
          <w:szCs w:val="28"/>
        </w:rPr>
        <w:t xml:space="preserve">по состоянию на 31 декабря 2021 года региональные отраслевые соглашения действовали во всех субъектах Российской Федерации за </w:t>
      </w:r>
      <w:r>
        <w:rPr>
          <w:color w:val="auto"/>
          <w:sz w:val="28"/>
          <w:szCs w:val="28"/>
        </w:rPr>
        <w:t>исключением Еврейской автономной области, в которой в 2020 году истек срок действия соглашения, заключенного на 2018-2020 годы, и до настоящего времени не решен вопрос о заключении нового регионального соглашения.</w:t>
      </w:r>
    </w:p>
    <w:p w:rsidR="00162101" w:rsidRDefault="00162101" w:rsidP="0055083A">
      <w:pPr>
        <w:pStyle w:val="Default"/>
        <w:jc w:val="both"/>
        <w:rPr>
          <w:color w:val="auto"/>
          <w:sz w:val="28"/>
          <w:szCs w:val="28"/>
        </w:rPr>
      </w:pPr>
    </w:p>
    <w:p w:rsidR="00527DA1" w:rsidRDefault="00527DA1" w:rsidP="0055083A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На территориальном уровне </w:t>
      </w:r>
      <w:r>
        <w:rPr>
          <w:sz w:val="28"/>
          <w:szCs w:val="28"/>
        </w:rPr>
        <w:t xml:space="preserve">по итогам коллективно-договорной кампании 2021 года охват муниципальных образований (городских округов и муниципальных районов) заключенными территориальными отраслевыми соглашениями составил 90,0%, что на 1,0% выше показателя предыдущего года. Охват территориальных организаций Профсоюза заключенными территориальными отраслевыми соглашениями составил 92,6%, что на 0,5% выше предыдущего года. </w:t>
      </w:r>
    </w:p>
    <w:p w:rsidR="00527DA1" w:rsidRDefault="00527DA1" w:rsidP="00CA3A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</w:t>
      </w:r>
      <w:r w:rsidRPr="00527DA1">
        <w:rPr>
          <w:b/>
          <w:sz w:val="28"/>
          <w:szCs w:val="28"/>
        </w:rPr>
        <w:t>в 9 региональных организациях Профсоюза</w:t>
      </w:r>
      <w:r>
        <w:rPr>
          <w:sz w:val="28"/>
          <w:szCs w:val="28"/>
        </w:rPr>
        <w:t xml:space="preserve"> охват муниципальных образований и территориальных организаций Профсоюза </w:t>
      </w:r>
      <w:r>
        <w:rPr>
          <w:sz w:val="28"/>
          <w:szCs w:val="28"/>
        </w:rPr>
        <w:lastRenderedPageBreak/>
        <w:t xml:space="preserve">территориальными отраслевыми соглашениями в отчетный период остается </w:t>
      </w:r>
      <w:r w:rsidRPr="00527DA1">
        <w:rPr>
          <w:b/>
          <w:sz w:val="28"/>
          <w:szCs w:val="28"/>
        </w:rPr>
        <w:t>на уровне ниже 70%</w:t>
      </w:r>
      <w:r>
        <w:rPr>
          <w:sz w:val="28"/>
          <w:szCs w:val="28"/>
        </w:rPr>
        <w:t xml:space="preserve"> (в Удмуртской Республике, республиках Алтай, Карелия, Алтайском, Камчатском, Пермском, Приморском краях, Амурской и Тамбовской областях). </w:t>
      </w:r>
    </w:p>
    <w:p w:rsidR="00527DA1" w:rsidRDefault="00527DA1" w:rsidP="00CA3A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Тамбовской области и Пермском крае охват муниципальных образований и территориальных организаций Профсоюза территориальными отраслевыми соглашениями несколько повысился по сравнению с прошлым отчетным периодом, но остается на уровне ниже 70%. </w:t>
      </w:r>
    </w:p>
    <w:p w:rsidR="00527DA1" w:rsidRDefault="00527DA1" w:rsidP="00CA3AFE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27DA1">
        <w:rPr>
          <w:b/>
          <w:sz w:val="28"/>
          <w:szCs w:val="28"/>
        </w:rPr>
        <w:t>Камчатском крае</w:t>
      </w:r>
      <w:r>
        <w:rPr>
          <w:sz w:val="28"/>
          <w:szCs w:val="28"/>
        </w:rPr>
        <w:t xml:space="preserve"> охват территориальных организаций Профсоюза территориальными отраслевыми соглашениями остался на прежнем уровне – </w:t>
      </w:r>
      <w:r>
        <w:rPr>
          <w:b/>
          <w:sz w:val="28"/>
          <w:szCs w:val="28"/>
        </w:rPr>
        <w:t>50,0%.</w:t>
      </w:r>
    </w:p>
    <w:p w:rsidR="00527DA1" w:rsidRDefault="00527DA1" w:rsidP="0055083A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На локальном уровне </w:t>
      </w:r>
      <w:r>
        <w:rPr>
          <w:sz w:val="28"/>
          <w:szCs w:val="28"/>
        </w:rPr>
        <w:t xml:space="preserve">охват образовательных организаций, имеющих первичные профсоюзные организации работников, коллективными договорами </w:t>
      </w:r>
      <w:r w:rsidRPr="00527DA1">
        <w:rPr>
          <w:b/>
          <w:sz w:val="28"/>
          <w:szCs w:val="28"/>
        </w:rPr>
        <w:t>составил 97,6%,</w:t>
      </w:r>
      <w:r>
        <w:rPr>
          <w:sz w:val="28"/>
          <w:szCs w:val="28"/>
        </w:rPr>
        <w:t xml:space="preserve"> что на 0,3% выше показателя 2020 года.</w:t>
      </w:r>
    </w:p>
    <w:p w:rsidR="00527DA1" w:rsidRDefault="00527DA1" w:rsidP="005508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16 региональных (межрегиональных) организациях Профсоюза по итогам 2021 года наблюдается </w:t>
      </w:r>
      <w:r w:rsidRPr="00527DA1">
        <w:rPr>
          <w:b/>
          <w:sz w:val="28"/>
          <w:szCs w:val="28"/>
        </w:rPr>
        <w:t>прирост (более, чем на 0,5%)</w:t>
      </w:r>
      <w:r>
        <w:rPr>
          <w:sz w:val="28"/>
          <w:szCs w:val="28"/>
        </w:rPr>
        <w:t xml:space="preserve"> охвата образовательных организаций коллективными договорами. </w:t>
      </w:r>
    </w:p>
    <w:p w:rsidR="00527DA1" w:rsidRDefault="00527DA1" w:rsidP="0055083A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27DA1">
        <w:rPr>
          <w:b/>
          <w:sz w:val="28"/>
          <w:szCs w:val="28"/>
        </w:rPr>
        <w:t xml:space="preserve">13 региональных организациях Профсоюза произошло снижение охвата </w:t>
      </w:r>
      <w:r>
        <w:rPr>
          <w:sz w:val="28"/>
          <w:szCs w:val="28"/>
        </w:rPr>
        <w:t xml:space="preserve">образовательных организаций, имеющих первичные профсоюзные организации, коллективными договорами (сокращение более чем на 0,5%), в том </w:t>
      </w:r>
      <w:r w:rsidRPr="00527DA1">
        <w:rPr>
          <w:b/>
          <w:sz w:val="28"/>
          <w:szCs w:val="28"/>
        </w:rPr>
        <w:t>числе значительное – в Магаданской области (с 41,5% до 27,9%) и в Республике Коми (с 81,2% до 74,1%).</w:t>
      </w:r>
    </w:p>
    <w:p w:rsidR="00527DA1" w:rsidRDefault="00527DA1" w:rsidP="0055083A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Pr="00527DA1">
        <w:rPr>
          <w:b/>
          <w:sz w:val="28"/>
          <w:szCs w:val="28"/>
        </w:rPr>
        <w:t>51 региональной (межрегиональной</w:t>
      </w:r>
      <w:r>
        <w:rPr>
          <w:sz w:val="28"/>
          <w:szCs w:val="28"/>
        </w:rPr>
        <w:t xml:space="preserve">) организации Профсоюза охват образовательных организаций коллективными договорами сохранился на уровне показателей </w:t>
      </w:r>
      <w:r w:rsidRPr="00527DA1">
        <w:rPr>
          <w:b/>
          <w:sz w:val="28"/>
          <w:szCs w:val="28"/>
        </w:rPr>
        <w:t>за 2020 год</w:t>
      </w:r>
      <w:r>
        <w:rPr>
          <w:sz w:val="28"/>
          <w:szCs w:val="28"/>
        </w:rPr>
        <w:t xml:space="preserve"> (колебания в пределах 0,5%). </w:t>
      </w:r>
    </w:p>
    <w:p w:rsidR="00527DA1" w:rsidRDefault="00527DA1" w:rsidP="0055083A">
      <w:pPr>
        <w:pStyle w:val="Default"/>
        <w:jc w:val="both"/>
        <w:rPr>
          <w:sz w:val="28"/>
          <w:szCs w:val="28"/>
        </w:rPr>
      </w:pPr>
      <w:r w:rsidRPr="00527DA1">
        <w:rPr>
          <w:b/>
          <w:sz w:val="28"/>
          <w:szCs w:val="28"/>
        </w:rPr>
        <w:t>Практически полного охвата коллективными договорами образовательных организаций (99,0% и выше) в 2021 году удалось добиться в 41 региональной</w:t>
      </w:r>
      <w:r>
        <w:rPr>
          <w:sz w:val="28"/>
          <w:szCs w:val="28"/>
        </w:rPr>
        <w:t xml:space="preserve"> (межрегиональной) организации Профсоюза, что составляет 51,3% (в 2020 году – в 42 региональных (межрегиональных) организациях Профсоюза, или 52,5%).</w:t>
      </w:r>
    </w:p>
    <w:p w:rsidR="0055083A" w:rsidRDefault="00527DA1" w:rsidP="005508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Следует отметить, что </w:t>
      </w:r>
      <w:r w:rsidRPr="00527DA1">
        <w:rPr>
          <w:b/>
          <w:sz w:val="28"/>
          <w:szCs w:val="28"/>
        </w:rPr>
        <w:t>33 региональные (межрегиональные) организации Профсоюза (41,3%) достигли в 2021 году полного охвата</w:t>
      </w:r>
      <w:r>
        <w:rPr>
          <w:sz w:val="28"/>
          <w:szCs w:val="28"/>
        </w:rPr>
        <w:t xml:space="preserve"> территориальными отраслевыми соглашениями территориальных организаций Профсоюза, муниципальных образований и практически </w:t>
      </w:r>
      <w:r w:rsidRPr="00527DA1">
        <w:rPr>
          <w:b/>
          <w:sz w:val="28"/>
          <w:szCs w:val="28"/>
        </w:rPr>
        <w:t>полного (99,0% и выше) охвата</w:t>
      </w:r>
      <w:r>
        <w:rPr>
          <w:sz w:val="28"/>
          <w:szCs w:val="28"/>
        </w:rPr>
        <w:t xml:space="preserve"> образовательных организаций коллективными договорами.</w:t>
      </w:r>
    </w:p>
    <w:p w:rsidR="0055083A" w:rsidRDefault="0055083A" w:rsidP="005508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A3AFE">
        <w:rPr>
          <w:color w:val="auto"/>
          <w:sz w:val="28"/>
          <w:szCs w:val="28"/>
        </w:rPr>
        <w:t xml:space="preserve">На основании вышеизложенного </w:t>
      </w:r>
      <w:r w:rsidRPr="00CA3AFE">
        <w:rPr>
          <w:b/>
          <w:bCs/>
          <w:color w:val="auto"/>
          <w:sz w:val="28"/>
          <w:szCs w:val="28"/>
        </w:rPr>
        <w:t>Исполнительный комитет Профсоюза ПОСТАНОВЛЯЕТ</w:t>
      </w:r>
    </w:p>
    <w:p w:rsidR="0055083A" w:rsidRDefault="0055083A" w:rsidP="005508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55083A">
        <w:rPr>
          <w:b/>
          <w:sz w:val="28"/>
          <w:szCs w:val="28"/>
        </w:rPr>
        <w:t>. Отметить эффективную работу по защите социально-трудовых прав и профессиональных интересов педагогических и иных работников образовательных организаций в рамках коллективно-договорного регулирования региональных (межрегиональных) организаций Профсоюза</w:t>
      </w:r>
      <w:r>
        <w:rPr>
          <w:sz w:val="28"/>
          <w:szCs w:val="28"/>
        </w:rPr>
        <w:t xml:space="preserve"> республик Адыгея, Башкортостан, Бурятия, Дагестан, Ингушетия, Крым, Марий Эл, Мордовия, Северная Осетия - Алания, Татарстан, Хакассия, </w:t>
      </w:r>
      <w:r>
        <w:rPr>
          <w:sz w:val="28"/>
          <w:szCs w:val="28"/>
        </w:rPr>
        <w:lastRenderedPageBreak/>
        <w:t xml:space="preserve">Карачаево-Черкесской, Кабардино-Балкарской, Чеченской республик; Краснодарского, Ставропольского краев; Белгородской, Брянской, </w:t>
      </w:r>
      <w:r w:rsidRPr="0055083A">
        <w:rPr>
          <w:b/>
          <w:sz w:val="28"/>
          <w:szCs w:val="28"/>
        </w:rPr>
        <w:t>Волгоградской</w:t>
      </w:r>
      <w:r>
        <w:rPr>
          <w:sz w:val="28"/>
          <w:szCs w:val="28"/>
        </w:rPr>
        <w:t>, Воронежской, Ивановской, Калужской, Курской, Курганской, Липецкой, Орловской, Оренбургской, Пензенской, Самарской, Саратовской, Тульской, Ульяновской, Челябинской областей, добившихся по итогам 2021года полного охвата территориальными отраслевыми соглашениями территориальных организаций Профсоюза, муниципальных образований и практически полного (99,0% и выше) охвата образовательных организаций коллективными договорами.</w:t>
      </w:r>
    </w:p>
    <w:p w:rsidR="0055083A" w:rsidRDefault="0055083A" w:rsidP="0055083A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  <w:t xml:space="preserve">5. В целях изучения известных и вновь возникающих проблем, связанных с заключением территориальных отраслевых соглашений, предложить региональным организациям Профсоюза республик Алтай, Карелия, Удмуртия, Алтайского, Камчатского, Пермского, Приморского краев, Амурской и Тамбовской областей, в которых охват муниципальных образований и территориальных организаций Профсоюза территориальными отраслевыми </w:t>
      </w:r>
      <w:r w:rsidRPr="0055083A">
        <w:rPr>
          <w:b/>
          <w:sz w:val="28"/>
          <w:szCs w:val="28"/>
        </w:rPr>
        <w:t xml:space="preserve">соглашениями в течение ряда лет </w:t>
      </w:r>
      <w:r w:rsidRPr="0055083A">
        <w:rPr>
          <w:b/>
          <w:color w:val="auto"/>
          <w:sz w:val="28"/>
          <w:szCs w:val="28"/>
        </w:rPr>
        <w:t>остается на уровне ниже 70%</w:t>
      </w:r>
      <w:r>
        <w:rPr>
          <w:color w:val="auto"/>
          <w:sz w:val="28"/>
          <w:szCs w:val="28"/>
        </w:rPr>
        <w:t xml:space="preserve"> либо наблюдается резкое снижение этого показателя в отчетный период, направить </w:t>
      </w:r>
      <w:r w:rsidRPr="0055083A">
        <w:rPr>
          <w:b/>
          <w:color w:val="auto"/>
          <w:sz w:val="28"/>
          <w:szCs w:val="28"/>
        </w:rPr>
        <w:t>в ЦС Профсоюза до 20 апреля 2022 г. аналитическую информацию</w:t>
      </w:r>
      <w:r>
        <w:rPr>
          <w:color w:val="auto"/>
          <w:sz w:val="28"/>
          <w:szCs w:val="28"/>
        </w:rPr>
        <w:t xml:space="preserve"> о причинах такого положения и предложениях по нормализации и дополнительной мотивации социальных партнеров – руководителей органов местного самоуправления к заключению территориальных отраслевых соглашений.</w:t>
      </w:r>
    </w:p>
    <w:p w:rsidR="00305A7B" w:rsidRDefault="00305A7B" w:rsidP="00305A7B">
      <w:pPr>
        <w:pStyle w:val="Default"/>
        <w:ind w:left="-709"/>
        <w:jc w:val="both"/>
        <w:rPr>
          <w:color w:val="auto"/>
          <w:sz w:val="28"/>
          <w:szCs w:val="28"/>
        </w:rPr>
      </w:pPr>
    </w:p>
    <w:p w:rsidR="00E23ED5" w:rsidRDefault="00305A7B" w:rsidP="0055083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Далее таблица соглашения и коллективные договоры</w:t>
      </w:r>
      <w:bookmarkStart w:id="0" w:name="_GoBack"/>
      <w:bookmarkEnd w:id="0"/>
    </w:p>
    <w:p w:rsidR="00E23ED5" w:rsidRDefault="00E23ED5" w:rsidP="0055083A">
      <w:pPr>
        <w:pStyle w:val="Default"/>
        <w:jc w:val="both"/>
        <w:rPr>
          <w:color w:val="auto"/>
          <w:sz w:val="28"/>
          <w:szCs w:val="28"/>
        </w:rPr>
      </w:pPr>
    </w:p>
    <w:p w:rsidR="00CA3AFE" w:rsidRDefault="00E23ED5" w:rsidP="0055083A">
      <w:pPr>
        <w:pStyle w:val="Default"/>
        <w:jc w:val="both"/>
        <w:rPr>
          <w:color w:val="auto"/>
          <w:sz w:val="28"/>
          <w:szCs w:val="28"/>
        </w:rPr>
      </w:pPr>
      <w:r w:rsidRPr="00CA3AFE">
        <w:rPr>
          <w:b/>
          <w:color w:val="auto"/>
          <w:sz w:val="28"/>
          <w:szCs w:val="28"/>
        </w:rPr>
        <w:t>НЕ ЗАКЛЮЧЕНЫ</w:t>
      </w:r>
      <w:r w:rsidRPr="00CA3AF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на сегодняшний момент</w:t>
      </w:r>
      <w:r w:rsidR="00CA3AFE">
        <w:rPr>
          <w:color w:val="auto"/>
          <w:sz w:val="28"/>
          <w:szCs w:val="28"/>
        </w:rPr>
        <w:t xml:space="preserve"> коллективные договоры:</w:t>
      </w:r>
    </w:p>
    <w:p w:rsidR="00E23ED5" w:rsidRDefault="00CA3AFE" w:rsidP="0055083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</w:t>
      </w:r>
      <w:r w:rsidR="00E23ED5">
        <w:rPr>
          <w:color w:val="auto"/>
          <w:sz w:val="28"/>
          <w:szCs w:val="28"/>
        </w:rPr>
        <w:t>ГБПОУ «Волгоградский колледж управления и новых технологий им. Ю Гагарина»</w:t>
      </w:r>
    </w:p>
    <w:p w:rsidR="00E23ED5" w:rsidRPr="003055B9" w:rsidRDefault="00CA3AFE" w:rsidP="0055083A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E23ED5">
        <w:rPr>
          <w:color w:val="auto"/>
          <w:sz w:val="28"/>
          <w:szCs w:val="28"/>
        </w:rPr>
        <w:t xml:space="preserve"> ГБПОУ «</w:t>
      </w:r>
      <w:proofErr w:type="spellStart"/>
      <w:r w:rsidR="00E23ED5">
        <w:rPr>
          <w:color w:val="auto"/>
          <w:sz w:val="28"/>
          <w:szCs w:val="28"/>
        </w:rPr>
        <w:t>Серафимовичский</w:t>
      </w:r>
      <w:proofErr w:type="spellEnd"/>
      <w:r w:rsidR="00E23ED5">
        <w:rPr>
          <w:color w:val="auto"/>
          <w:sz w:val="28"/>
          <w:szCs w:val="28"/>
        </w:rPr>
        <w:t xml:space="preserve"> техникум механизации сельского хозяйства»</w:t>
      </w:r>
      <w:r>
        <w:rPr>
          <w:color w:val="auto"/>
          <w:sz w:val="28"/>
          <w:szCs w:val="28"/>
        </w:rPr>
        <w:t>.</w:t>
      </w:r>
    </w:p>
    <w:sectPr w:rsidR="00E23ED5" w:rsidRPr="003055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813" w:rsidRDefault="00265813" w:rsidP="00CA3AFE">
      <w:pPr>
        <w:spacing w:after="0" w:line="240" w:lineRule="auto"/>
      </w:pPr>
      <w:r>
        <w:separator/>
      </w:r>
    </w:p>
  </w:endnote>
  <w:endnote w:type="continuationSeparator" w:id="0">
    <w:p w:rsidR="00265813" w:rsidRDefault="00265813" w:rsidP="00CA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041429"/>
      <w:docPartObj>
        <w:docPartGallery w:val="Page Numbers (Bottom of Page)"/>
        <w:docPartUnique/>
      </w:docPartObj>
    </w:sdtPr>
    <w:sdtContent>
      <w:p w:rsidR="00CA3AFE" w:rsidRDefault="00CA3A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A3AFE" w:rsidRDefault="00CA3A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813" w:rsidRDefault="00265813" w:rsidP="00CA3AFE">
      <w:pPr>
        <w:spacing w:after="0" w:line="240" w:lineRule="auto"/>
      </w:pPr>
      <w:r>
        <w:separator/>
      </w:r>
    </w:p>
  </w:footnote>
  <w:footnote w:type="continuationSeparator" w:id="0">
    <w:p w:rsidR="00265813" w:rsidRDefault="00265813" w:rsidP="00CA3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B9"/>
    <w:rsid w:val="00162101"/>
    <w:rsid w:val="00265813"/>
    <w:rsid w:val="003055B9"/>
    <w:rsid w:val="00305A7B"/>
    <w:rsid w:val="00527DA1"/>
    <w:rsid w:val="0055083A"/>
    <w:rsid w:val="00BA7CAF"/>
    <w:rsid w:val="00CA3AFE"/>
    <w:rsid w:val="00E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225C5-A6F4-4989-822A-6F37D505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5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3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AFE"/>
  </w:style>
  <w:style w:type="paragraph" w:styleId="a5">
    <w:name w:val="footer"/>
    <w:basedOn w:val="a"/>
    <w:link w:val="a6"/>
    <w:uiPriority w:val="99"/>
    <w:unhideWhenUsed/>
    <w:rsid w:val="00CA3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32D9-AE87-4EFD-BA8A-9A2E0598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6</cp:revision>
  <dcterms:created xsi:type="dcterms:W3CDTF">2022-03-29T07:29:00Z</dcterms:created>
  <dcterms:modified xsi:type="dcterms:W3CDTF">2022-03-30T06:04:00Z</dcterms:modified>
</cp:coreProperties>
</file>