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44" w:rsidRPr="00D45ED7" w:rsidRDefault="008A4B44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4B44" w:rsidRPr="00D45ED7" w:rsidRDefault="008A4B44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D7">
        <w:rPr>
          <w:rFonts w:ascii="Times New Roman" w:hAnsi="Times New Roman" w:cs="Times New Roman"/>
          <w:b/>
          <w:sz w:val="24"/>
          <w:szCs w:val="24"/>
        </w:rPr>
        <w:t>о республиканском конкурсе</w:t>
      </w:r>
      <w:r w:rsidR="00BB74D6" w:rsidRPr="00D45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ED7">
        <w:rPr>
          <w:rFonts w:ascii="Times New Roman" w:hAnsi="Times New Roman" w:cs="Times New Roman"/>
          <w:b/>
          <w:sz w:val="24"/>
          <w:szCs w:val="24"/>
        </w:rPr>
        <w:t xml:space="preserve">«Лучший профсоюзный уголок </w:t>
      </w:r>
      <w:proofErr w:type="gramStart"/>
      <w:r w:rsidRPr="00D45ED7">
        <w:rPr>
          <w:rFonts w:ascii="Times New Roman" w:hAnsi="Times New Roman" w:cs="Times New Roman"/>
          <w:b/>
          <w:sz w:val="24"/>
          <w:szCs w:val="24"/>
        </w:rPr>
        <w:t>первичной</w:t>
      </w:r>
      <w:proofErr w:type="gramEnd"/>
    </w:p>
    <w:p w:rsidR="008A4B44" w:rsidRPr="00D45ED7" w:rsidRDefault="008A4B44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D7">
        <w:rPr>
          <w:rFonts w:ascii="Times New Roman" w:hAnsi="Times New Roman" w:cs="Times New Roman"/>
          <w:b/>
          <w:sz w:val="24"/>
          <w:szCs w:val="24"/>
        </w:rPr>
        <w:t>профсоюзной организации - 202</w:t>
      </w:r>
      <w:r w:rsidR="008622E0">
        <w:rPr>
          <w:rFonts w:ascii="Times New Roman" w:hAnsi="Times New Roman" w:cs="Times New Roman"/>
          <w:b/>
          <w:sz w:val="24"/>
          <w:szCs w:val="24"/>
        </w:rPr>
        <w:t>5</w:t>
      </w:r>
      <w:r w:rsidRPr="00D45ED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1.1.    Настоящее  положение  определяет  цели  и  задачи  организации республиканского  конкурса  «Лучший  профсоюзный  уголок  первичной  профсоюзной организации  -  202</w:t>
      </w:r>
      <w:r w:rsidR="008622E0">
        <w:rPr>
          <w:rFonts w:ascii="Times New Roman" w:hAnsi="Times New Roman" w:cs="Times New Roman"/>
          <w:sz w:val="24"/>
          <w:szCs w:val="24"/>
        </w:rPr>
        <w:t>5</w:t>
      </w:r>
      <w:r w:rsidRPr="00526AC7">
        <w:rPr>
          <w:rFonts w:ascii="Times New Roman" w:hAnsi="Times New Roman" w:cs="Times New Roman"/>
          <w:sz w:val="24"/>
          <w:szCs w:val="24"/>
        </w:rPr>
        <w:t xml:space="preserve">»  (далее  –  Конкурс),  порядок  проведения,  участия  в  Конкурсе, рассмотрения  представленных материалов и награждения победителя и призёров. 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1.2.  Организатором  Конкурса  является  Чувашская республиканская организация Общероссийского Профсоюза образования.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1.3.  Координатором  проведения  Конкурса  является  аппарат  Чувашской республиканской организации Общероссийского Профсоюза образования. Подведение итогов осуществляет жюри Конкурса.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2. </w:t>
      </w:r>
      <w:r w:rsidRPr="00526AC7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Цель  Конкурса:  повышение  эффективности  работы  первичных профсоюзных  организаций  по  защите  законных  прав  и  интересов    работников образования,  информирование  педагогических  коллективов  о  деятельности региональной  и  территориальных  организаций  Профсоюза,  вышестоящих профсоюзных  органов,  укрепление  авторитета  первичных  профсоюзных организаций и роста их рядов.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  активизировать  использование  информационных  материалов первичными профсоюзными организациями;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  обобщить  и  распространить  лучший  опыт  информационно-пропагандистской деятельности первичных профсоюзных организаций;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  поощрить  председателей  первичных  профсоюзных  организаций  за проделанную работу по популяризации профсоюзного движения.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3.  Участники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В  Конкурсе  принимают  участие  первичные  профсоюзные  организации, входящие  в  реестры  территориальных  организаций  Профсоюза,  а  также  первичные профсоюзные  организации,  входящие  в  реестр Чувашской республиканской организации Общероссийского Профсоюза образования</w:t>
      </w:r>
      <w:r w:rsidR="008622E0">
        <w:rPr>
          <w:rFonts w:ascii="Times New Roman" w:hAnsi="Times New Roman" w:cs="Times New Roman"/>
          <w:sz w:val="24"/>
          <w:szCs w:val="24"/>
        </w:rPr>
        <w:t>, не участвовавшие в конкурсе  2022, 2023, 2024 годах.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4. Сроки проведения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Конкурс проходит в три этапа: </w:t>
      </w:r>
    </w:p>
    <w:p w:rsidR="008A4B44" w:rsidRPr="00526AC7" w:rsidRDefault="008622E0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этап </w:t>
      </w:r>
      <w:r w:rsidR="008A4B44" w:rsidRPr="00526AC7">
        <w:rPr>
          <w:rFonts w:ascii="Times New Roman" w:hAnsi="Times New Roman" w:cs="Times New Roman"/>
          <w:sz w:val="24"/>
          <w:szCs w:val="24"/>
        </w:rPr>
        <w:t>- муниципальный  (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года). Территориальные  организации  Профсоюза  определяют  первичные профсоюзные  организации,  занявшие  I,  II  и  III  место. 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выдвигают для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республиканском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8A4B44" w:rsidRPr="00526AC7" w:rsidRDefault="008622E0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этап - </w:t>
      </w:r>
      <w:r>
        <w:rPr>
          <w:rFonts w:ascii="Times New Roman" w:hAnsi="Times New Roman" w:cs="Times New Roman"/>
          <w:sz w:val="24"/>
          <w:szCs w:val="24"/>
        </w:rPr>
        <w:t>республиканский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(июнь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года). Жюри  Конкурса  рассматривает  материалы,  своевременно  представленные  в </w:t>
      </w:r>
      <w:r>
        <w:rPr>
          <w:rFonts w:ascii="Times New Roman" w:hAnsi="Times New Roman" w:cs="Times New Roman"/>
          <w:sz w:val="24"/>
          <w:szCs w:val="24"/>
        </w:rPr>
        <w:t>организационный комитет конкурса</w:t>
      </w:r>
      <w:r w:rsidR="008A4B44" w:rsidRPr="00526AC7">
        <w:rPr>
          <w:rFonts w:ascii="Times New Roman" w:hAnsi="Times New Roman" w:cs="Times New Roman"/>
          <w:sz w:val="24"/>
          <w:szCs w:val="24"/>
        </w:rPr>
        <w:t>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5. Организация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5.1.  Президиум  Чувашской республиканской организации Общероссийского Профсоюза образования утверждает  состав  жюри,  определяет  порядок  его  работы  и  размер поощрений </w:t>
      </w:r>
      <w:r w:rsidR="008622E0">
        <w:rPr>
          <w:rFonts w:ascii="Times New Roman" w:hAnsi="Times New Roman" w:cs="Times New Roman"/>
          <w:sz w:val="24"/>
          <w:szCs w:val="24"/>
        </w:rPr>
        <w:t>за призовые места</w:t>
      </w:r>
      <w:r w:rsidRPr="00526AC7">
        <w:rPr>
          <w:rFonts w:ascii="Times New Roman" w:hAnsi="Times New Roman" w:cs="Times New Roman"/>
          <w:sz w:val="24"/>
          <w:szCs w:val="24"/>
        </w:rPr>
        <w:t>.</w:t>
      </w:r>
    </w:p>
    <w:p w:rsidR="006B00F5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5.2.  Конкурсные  материалы,  оформленные  в  соответствии  с  п.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 xml:space="preserve">6.  </w:t>
      </w:r>
      <w:r w:rsidR="006B00F5" w:rsidRPr="00526AC7">
        <w:rPr>
          <w:rFonts w:ascii="Times New Roman" w:hAnsi="Times New Roman" w:cs="Times New Roman"/>
          <w:sz w:val="24"/>
          <w:szCs w:val="24"/>
        </w:rPr>
        <w:t>Н</w:t>
      </w:r>
      <w:r w:rsidRPr="00526AC7">
        <w:rPr>
          <w:rFonts w:ascii="Times New Roman" w:hAnsi="Times New Roman" w:cs="Times New Roman"/>
          <w:sz w:val="24"/>
          <w:szCs w:val="24"/>
        </w:rPr>
        <w:t>астоящего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 xml:space="preserve">положения,  представляются  в  аппарат  </w:t>
      </w:r>
      <w:r w:rsidR="006B00F5" w:rsidRPr="00526AC7">
        <w:rPr>
          <w:rFonts w:ascii="Times New Roman" w:hAnsi="Times New Roman" w:cs="Times New Roman"/>
          <w:sz w:val="24"/>
          <w:szCs w:val="24"/>
        </w:rPr>
        <w:t>Чувашской республиканской организации Общероссийского Профсоюза образования</w:t>
      </w:r>
      <w:r w:rsidR="003B7AB6" w:rsidRPr="00526AC7">
        <w:rPr>
          <w:rFonts w:ascii="Times New Roman" w:hAnsi="Times New Roman" w:cs="Times New Roman"/>
          <w:sz w:val="24"/>
          <w:szCs w:val="24"/>
        </w:rPr>
        <w:t>.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F5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5.3.  Итоги  Конкурса  после  завершения  </w:t>
      </w:r>
      <w:r w:rsidR="008622E0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526AC7">
        <w:rPr>
          <w:rFonts w:ascii="Times New Roman" w:hAnsi="Times New Roman" w:cs="Times New Roman"/>
          <w:sz w:val="24"/>
          <w:szCs w:val="24"/>
        </w:rPr>
        <w:t xml:space="preserve">  этапа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 xml:space="preserve">рассматриваются  на  очередном  заседании  Президиума  </w:t>
      </w:r>
      <w:r w:rsidR="006B00F5" w:rsidRPr="00526AC7">
        <w:rPr>
          <w:rFonts w:ascii="Times New Roman" w:hAnsi="Times New Roman" w:cs="Times New Roman"/>
          <w:sz w:val="24"/>
          <w:szCs w:val="24"/>
        </w:rPr>
        <w:t>Чувашской республиканской организации Общероссийского Профсоюза образования</w:t>
      </w:r>
      <w:r w:rsidR="003B7AB6" w:rsidRPr="00526AC7">
        <w:rPr>
          <w:rFonts w:ascii="Times New Roman" w:hAnsi="Times New Roman" w:cs="Times New Roman"/>
          <w:sz w:val="24"/>
          <w:szCs w:val="24"/>
        </w:rPr>
        <w:t>.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6. Условия проведения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На  Конкурс  представляются  материалы  первичных  профсоюзных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организаций,  занявших первое место на муниципальном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этапе, содержащие: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</w:t>
      </w:r>
      <w:r w:rsidR="00253BE6" w:rsidRPr="00526AC7">
        <w:rPr>
          <w:rFonts w:ascii="Times New Roman" w:hAnsi="Times New Roman" w:cs="Times New Roman"/>
          <w:sz w:val="24"/>
          <w:szCs w:val="24"/>
        </w:rPr>
        <w:t>заявку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 Профсоюза или</w:t>
      </w:r>
      <w:r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="008622E0">
        <w:rPr>
          <w:rFonts w:ascii="Times New Roman" w:hAnsi="Times New Roman" w:cs="Times New Roman"/>
          <w:sz w:val="24"/>
          <w:szCs w:val="24"/>
        </w:rPr>
        <w:t xml:space="preserve">ППО </w:t>
      </w:r>
      <w:r w:rsidR="008A4B44" w:rsidRPr="00526AC7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информационную карту участника Конкурса (приложение № 2);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</w:t>
      </w:r>
      <w:r w:rsidR="003B7AB6" w:rsidRPr="00526AC7">
        <w:rPr>
          <w:rFonts w:ascii="Times New Roman" w:hAnsi="Times New Roman" w:cs="Times New Roman"/>
          <w:sz w:val="24"/>
          <w:szCs w:val="24"/>
        </w:rPr>
        <w:t xml:space="preserve">качественную </w:t>
      </w:r>
      <w:r w:rsidR="008A4B44" w:rsidRPr="00526AC7">
        <w:rPr>
          <w:rFonts w:ascii="Times New Roman" w:hAnsi="Times New Roman" w:cs="Times New Roman"/>
          <w:sz w:val="24"/>
          <w:szCs w:val="24"/>
        </w:rPr>
        <w:t>фото</w:t>
      </w:r>
      <w:r w:rsidR="003B7AB6" w:rsidRPr="00526AC7">
        <w:rPr>
          <w:rFonts w:ascii="Times New Roman" w:hAnsi="Times New Roman" w:cs="Times New Roman"/>
          <w:sz w:val="24"/>
          <w:szCs w:val="24"/>
        </w:rPr>
        <w:t>графию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профсоюзного уголка (формат А</w:t>
      </w:r>
      <w:proofErr w:type="gramStart"/>
      <w:r w:rsidR="008A4B44" w:rsidRPr="00526AC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A4B44" w:rsidRPr="00526AC7">
        <w:rPr>
          <w:rFonts w:ascii="Times New Roman" w:hAnsi="Times New Roman" w:cs="Times New Roman"/>
          <w:sz w:val="24"/>
          <w:szCs w:val="24"/>
        </w:rPr>
        <w:t>).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7. Жюри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7.1.  В  состав  жюри  Конкурса  могут  входить  специалисты  аппарата,    члены Президиума  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Чувашской республиканской организации Общероссийского Профсоюза образования, </w:t>
      </w:r>
      <w:r w:rsidRPr="00526AC7">
        <w:rPr>
          <w:rFonts w:ascii="Times New Roman" w:hAnsi="Times New Roman" w:cs="Times New Roman"/>
          <w:sz w:val="24"/>
          <w:szCs w:val="24"/>
        </w:rPr>
        <w:t xml:space="preserve">представители территориальных организаций Профсоюза. Председателем  жюри  является  </w:t>
      </w:r>
      <w:r w:rsidR="006B00F5" w:rsidRPr="00526AC7">
        <w:rPr>
          <w:rFonts w:ascii="Times New Roman" w:hAnsi="Times New Roman" w:cs="Times New Roman"/>
          <w:sz w:val="24"/>
          <w:szCs w:val="24"/>
        </w:rPr>
        <w:t>п</w:t>
      </w:r>
      <w:r w:rsidRPr="00526AC7">
        <w:rPr>
          <w:rFonts w:ascii="Times New Roman" w:hAnsi="Times New Roman" w:cs="Times New Roman"/>
          <w:sz w:val="24"/>
          <w:szCs w:val="24"/>
        </w:rPr>
        <w:t xml:space="preserve">редседатель  </w:t>
      </w:r>
      <w:r w:rsidR="006B00F5" w:rsidRPr="00526AC7">
        <w:rPr>
          <w:rFonts w:ascii="Times New Roman" w:hAnsi="Times New Roman" w:cs="Times New Roman"/>
          <w:sz w:val="24"/>
          <w:szCs w:val="24"/>
        </w:rPr>
        <w:t>Чувашской республиканской организации Общероссийского Профсоюза образования</w:t>
      </w:r>
      <w:r w:rsidRPr="00526AC7">
        <w:rPr>
          <w:rFonts w:ascii="Times New Roman" w:hAnsi="Times New Roman" w:cs="Times New Roman"/>
          <w:sz w:val="24"/>
          <w:szCs w:val="24"/>
        </w:rPr>
        <w:t>,  который  вносит  предложения  о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 xml:space="preserve">кандидатурах  в  состав  Жюри  и   определяет  порядок  награждения  победителя  и призёров. 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7.2.   Каждый  член  жюри  заполняет  протокол  Конкурса  (приложение  №  3).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Итоговый протокол  Конкурса п</w:t>
      </w:r>
      <w:r w:rsidR="003B7AB6" w:rsidRPr="00526AC7">
        <w:rPr>
          <w:rFonts w:ascii="Times New Roman" w:hAnsi="Times New Roman" w:cs="Times New Roman"/>
          <w:sz w:val="24"/>
          <w:szCs w:val="24"/>
        </w:rPr>
        <w:t>одписывается председателем жюри</w:t>
      </w:r>
      <w:r w:rsidRPr="00526AC7">
        <w:rPr>
          <w:rFonts w:ascii="Times New Roman" w:hAnsi="Times New Roman" w:cs="Times New Roman"/>
          <w:sz w:val="24"/>
          <w:szCs w:val="24"/>
        </w:rPr>
        <w:t xml:space="preserve">  (приложение  №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4).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7.3.  Все критерии оцениваются по 3-х бальной системе (0, 1, 2 балла).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7.4.  Все оценки вносятся в протокол и не могут быть изменены.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lastRenderedPageBreak/>
        <w:t>7.5.  Жюри  Конкурса  присуждает  I,  II  и  III  место  профсоюзным  уголкам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первичных профсоюзных организаций.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8. Критерии оценки Конкурса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Наличие  официально  утвержденной  символики  Общероссийского</w:t>
      </w:r>
      <w:r w:rsidR="008622E0">
        <w:rPr>
          <w:rFonts w:ascii="Times New Roman" w:hAnsi="Times New Roman" w:cs="Times New Roman"/>
          <w:sz w:val="24"/>
          <w:szCs w:val="24"/>
        </w:rPr>
        <w:t xml:space="preserve"> </w:t>
      </w:r>
      <w:r w:rsidR="008A4B44" w:rsidRPr="00526AC7">
        <w:rPr>
          <w:rFonts w:ascii="Times New Roman" w:hAnsi="Times New Roman" w:cs="Times New Roman"/>
          <w:sz w:val="24"/>
          <w:szCs w:val="24"/>
        </w:rPr>
        <w:t>Профсоюза образования.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Полнота информации о первичной профсоюзной организации.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Формы освещения деятельности первичной профсоюзной организации.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Актуальность и оперативность представленных материалов.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Новизна и оригинальность оформления профсоюзного уголка.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Практическая ценность и привлекательность информации.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Регулярное обновление материалов профсоюзного уголка.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Использование фотоматериалов, компьютерных технологий в</w:t>
      </w:r>
      <w:r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="008A4B44" w:rsidRPr="00526AC7">
        <w:rPr>
          <w:rFonts w:ascii="Times New Roman" w:hAnsi="Times New Roman" w:cs="Times New Roman"/>
          <w:sz w:val="24"/>
          <w:szCs w:val="24"/>
        </w:rPr>
        <w:t>оформлении профсоюзного уголка.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Эстетическое и художественное оформление.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9. Награждение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9.1.  Награждение по итогам Конкурса на муниципальном уровне проводится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территориальной организацией Профсоюза.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9.2.  Награждение  по  итогам  заключительного  этапа  Конкурса  проводится  на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республиканском</w:t>
      </w:r>
      <w:r w:rsidRPr="00526AC7"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9.3.    Победитель  и  призёры  Конкурса  награждаются  Дипломами  I,  II,  III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степени и денежной</w:t>
      </w:r>
      <w:r w:rsidR="003B7AB6" w:rsidRPr="00526AC7">
        <w:rPr>
          <w:rFonts w:ascii="Times New Roman" w:hAnsi="Times New Roman" w:cs="Times New Roman"/>
          <w:sz w:val="24"/>
          <w:szCs w:val="24"/>
        </w:rPr>
        <w:t xml:space="preserve"> премией</w:t>
      </w:r>
      <w:r w:rsidRPr="00526AC7">
        <w:rPr>
          <w:rFonts w:ascii="Times New Roman" w:hAnsi="Times New Roman" w:cs="Times New Roman"/>
          <w:sz w:val="24"/>
          <w:szCs w:val="24"/>
        </w:rPr>
        <w:t>.</w:t>
      </w:r>
    </w:p>
    <w:p w:rsidR="006B00F5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9.4. Первичным  профсоюзным  организациям, принявшим  участие в </w:t>
      </w:r>
      <w:r w:rsidR="003B7AB6" w:rsidRPr="00526AC7">
        <w:rPr>
          <w:rFonts w:ascii="Times New Roman" w:hAnsi="Times New Roman" w:cs="Times New Roman"/>
          <w:sz w:val="24"/>
          <w:szCs w:val="24"/>
        </w:rPr>
        <w:t xml:space="preserve">заключительном этапе конкурса и не занявшим призовые  места, </w:t>
      </w:r>
      <w:r w:rsidRPr="00526AC7">
        <w:rPr>
          <w:rFonts w:ascii="Times New Roman" w:hAnsi="Times New Roman" w:cs="Times New Roman"/>
          <w:sz w:val="24"/>
          <w:szCs w:val="24"/>
        </w:rPr>
        <w:t xml:space="preserve">вручаются  </w:t>
      </w:r>
      <w:r w:rsidR="008622E0">
        <w:rPr>
          <w:rFonts w:ascii="Times New Roman" w:hAnsi="Times New Roman" w:cs="Times New Roman"/>
          <w:sz w:val="24"/>
          <w:szCs w:val="24"/>
        </w:rPr>
        <w:t>дипломы участника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>10. Финансирование Конкурса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10.1.  Финансирование  муниципальных  этапов  Конкурса  производится  за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счёт средств территориальных организаций Профсоюза.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10.2.  Финансирование  республиканского  этапа  Конкурса    -  за  счёт  средств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региональной  организации Профсоюза.</w:t>
      </w:r>
    </w:p>
    <w:p w:rsidR="006B00F5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B00F5" w:rsidRPr="00526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0F5" w:rsidRPr="00526AC7" w:rsidRDefault="006B00F5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6AC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8A4B44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В оргкомитет республиканского конкурса</w:t>
      </w:r>
    </w:p>
    <w:p w:rsidR="008A4B44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«Лучший профсоюзный уголок </w:t>
      </w:r>
    </w:p>
    <w:p w:rsidR="00706A2C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первичной профсоюзной организации-202</w:t>
      </w:r>
      <w:r w:rsidR="008622E0">
        <w:rPr>
          <w:rFonts w:ascii="Times New Roman" w:hAnsi="Times New Roman" w:cs="Times New Roman"/>
          <w:sz w:val="24"/>
          <w:szCs w:val="24"/>
        </w:rPr>
        <w:t>5</w:t>
      </w:r>
      <w:r w:rsidRPr="00526AC7">
        <w:rPr>
          <w:rFonts w:ascii="Times New Roman" w:hAnsi="Times New Roman" w:cs="Times New Roman"/>
          <w:sz w:val="24"/>
          <w:szCs w:val="24"/>
        </w:rPr>
        <w:t>»</w:t>
      </w:r>
    </w:p>
    <w:p w:rsidR="006B00F5" w:rsidRPr="00526AC7" w:rsidRDefault="006B00F5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4B44" w:rsidRPr="00526AC7" w:rsidRDefault="008A4B44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ЗАЯВКА</w:t>
      </w:r>
    </w:p>
    <w:p w:rsidR="006B00F5" w:rsidRPr="00526AC7" w:rsidRDefault="006B00F5" w:rsidP="00BB7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6B00F5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C7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территориальной организации) </w:t>
      </w:r>
    </w:p>
    <w:p w:rsidR="008A4B44" w:rsidRPr="00526AC7" w:rsidRDefault="008A4B44" w:rsidP="00BB7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направляет  материалы  для  участия  в  заключительном  этапе  республиканского  конкурса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 xml:space="preserve">«Лучший профсоюзный уголок </w:t>
      </w:r>
      <w:proofErr w:type="gramStart"/>
      <w:r w:rsidRPr="00526AC7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526AC7">
        <w:rPr>
          <w:rFonts w:ascii="Times New Roman" w:hAnsi="Times New Roman" w:cs="Times New Roman"/>
          <w:sz w:val="24"/>
          <w:szCs w:val="24"/>
        </w:rPr>
        <w:t xml:space="preserve"> профсоюзной организации-202</w:t>
      </w:r>
      <w:r w:rsidR="008622E0">
        <w:rPr>
          <w:rFonts w:ascii="Times New Roman" w:hAnsi="Times New Roman" w:cs="Times New Roman"/>
          <w:sz w:val="24"/>
          <w:szCs w:val="24"/>
        </w:rPr>
        <w:t>5</w:t>
      </w:r>
      <w:r w:rsidRPr="00526AC7">
        <w:rPr>
          <w:rFonts w:ascii="Times New Roman" w:hAnsi="Times New Roman" w:cs="Times New Roman"/>
          <w:sz w:val="24"/>
          <w:szCs w:val="24"/>
        </w:rPr>
        <w:t>».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информационная  карта  профсоюзного  уголка  первичной  профсоюзной</w:t>
      </w:r>
      <w:r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="008A4B44" w:rsidRPr="00526AC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фото профсоюзного уголка;</w:t>
      </w:r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-</w:t>
      </w:r>
      <w:r w:rsidR="008A4B44" w:rsidRPr="00526AC7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6B00F5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0F5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«_____»____________202</w:t>
      </w:r>
      <w:r w:rsidR="008622E0">
        <w:rPr>
          <w:rFonts w:ascii="Times New Roman" w:hAnsi="Times New Roman" w:cs="Times New Roman"/>
          <w:sz w:val="24"/>
          <w:szCs w:val="24"/>
        </w:rPr>
        <w:t>5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26AC7">
        <w:rPr>
          <w:rFonts w:ascii="Times New Roman" w:hAnsi="Times New Roman" w:cs="Times New Roman"/>
          <w:sz w:val="24"/>
          <w:szCs w:val="24"/>
        </w:rPr>
        <w:t>.</w:t>
      </w:r>
      <w:r w:rsidR="006B00F5" w:rsidRPr="00526AC7">
        <w:rPr>
          <w:rFonts w:ascii="Times New Roman" w:hAnsi="Times New Roman" w:cs="Times New Roman"/>
          <w:sz w:val="24"/>
          <w:szCs w:val="24"/>
        </w:rPr>
        <w:t xml:space="preserve">  ________________ (_______________)</w:t>
      </w:r>
      <w:proofErr w:type="gramEnd"/>
    </w:p>
    <w:p w:rsidR="008A4B44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622E0">
        <w:rPr>
          <w:rFonts w:ascii="Times New Roman" w:hAnsi="Times New Roman" w:cs="Times New Roman"/>
          <w:sz w:val="24"/>
          <w:szCs w:val="24"/>
        </w:rPr>
        <w:t xml:space="preserve">     </w:t>
      </w:r>
      <w:r w:rsidR="008A4B44" w:rsidRPr="00526AC7">
        <w:rPr>
          <w:rFonts w:ascii="Times New Roman" w:hAnsi="Times New Roman" w:cs="Times New Roman"/>
          <w:i/>
          <w:sz w:val="24"/>
          <w:szCs w:val="24"/>
        </w:rPr>
        <w:t xml:space="preserve">Подпись председателя  </w:t>
      </w:r>
    </w:p>
    <w:p w:rsidR="006B00F5" w:rsidRPr="00526AC7" w:rsidRDefault="006B00F5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B00F5" w:rsidRPr="00526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B44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6AC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8A4B44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к  Положению </w:t>
      </w:r>
      <w:r w:rsidR="003B7AB6" w:rsidRPr="00526AC7">
        <w:rPr>
          <w:rFonts w:ascii="Times New Roman" w:hAnsi="Times New Roman" w:cs="Times New Roman"/>
          <w:sz w:val="24"/>
          <w:szCs w:val="24"/>
        </w:rPr>
        <w:t>республиканском</w:t>
      </w:r>
      <w:r w:rsidRPr="00526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AC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</w:p>
    <w:p w:rsidR="008A4B44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«Лучший профсоюзный уголок </w:t>
      </w:r>
    </w:p>
    <w:p w:rsidR="008A4B44" w:rsidRPr="00526AC7" w:rsidRDefault="008A4B44" w:rsidP="00BB74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первич</w:t>
      </w:r>
      <w:r w:rsidR="006B00F5" w:rsidRPr="00526AC7">
        <w:rPr>
          <w:rFonts w:ascii="Times New Roman" w:hAnsi="Times New Roman" w:cs="Times New Roman"/>
          <w:sz w:val="24"/>
          <w:szCs w:val="24"/>
        </w:rPr>
        <w:t>ной профсоюзной организации-202</w:t>
      </w:r>
      <w:r w:rsidR="008622E0">
        <w:rPr>
          <w:rFonts w:ascii="Times New Roman" w:hAnsi="Times New Roman" w:cs="Times New Roman"/>
          <w:sz w:val="24"/>
          <w:szCs w:val="24"/>
        </w:rPr>
        <w:t>5</w:t>
      </w:r>
      <w:r w:rsidRPr="00526AC7">
        <w:rPr>
          <w:rFonts w:ascii="Times New Roman" w:hAnsi="Times New Roman" w:cs="Times New Roman"/>
          <w:sz w:val="24"/>
          <w:szCs w:val="24"/>
        </w:rPr>
        <w:t>»</w:t>
      </w:r>
    </w:p>
    <w:p w:rsidR="006B00F5" w:rsidRPr="00526AC7" w:rsidRDefault="006B00F5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4B44" w:rsidRPr="00D45ED7" w:rsidRDefault="008A4B44" w:rsidP="00BB7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D7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8A4B44" w:rsidRPr="00526AC7" w:rsidRDefault="008A4B44" w:rsidP="00D45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 xml:space="preserve">участника республиканского конкурса «Лучший профсоюзный уголок </w:t>
      </w:r>
      <w:proofErr w:type="gramStart"/>
      <w:r w:rsidRPr="00526AC7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="006B00F5" w:rsidRPr="00526AC7">
        <w:rPr>
          <w:rFonts w:ascii="Times New Roman" w:hAnsi="Times New Roman" w:cs="Times New Roman"/>
          <w:sz w:val="24"/>
          <w:szCs w:val="24"/>
        </w:rPr>
        <w:t xml:space="preserve"> </w:t>
      </w:r>
      <w:r w:rsidRPr="00526AC7">
        <w:rPr>
          <w:rFonts w:ascii="Times New Roman" w:hAnsi="Times New Roman" w:cs="Times New Roman"/>
          <w:sz w:val="24"/>
          <w:szCs w:val="24"/>
        </w:rPr>
        <w:t>профсоюзной организации-202</w:t>
      </w:r>
      <w:r w:rsidR="008622E0">
        <w:rPr>
          <w:rFonts w:ascii="Times New Roman" w:hAnsi="Times New Roman" w:cs="Times New Roman"/>
          <w:sz w:val="24"/>
          <w:szCs w:val="24"/>
        </w:rPr>
        <w:t>5</w:t>
      </w:r>
      <w:r w:rsidRPr="00526AC7">
        <w:rPr>
          <w:rFonts w:ascii="Times New Roman" w:hAnsi="Times New Roman" w:cs="Times New Roman"/>
          <w:sz w:val="24"/>
          <w:szCs w:val="24"/>
        </w:rPr>
        <w:t>»</w:t>
      </w:r>
    </w:p>
    <w:p w:rsidR="008A4B44" w:rsidRPr="00526AC7" w:rsidRDefault="008A4B44" w:rsidP="00BB7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B00F5" w:rsidRPr="00526A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4B44" w:rsidRPr="00526AC7" w:rsidRDefault="008A4B44" w:rsidP="00BB7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B00F5" w:rsidRPr="00526A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4B44" w:rsidRPr="00526AC7" w:rsidRDefault="008A4B44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AC7">
        <w:rPr>
          <w:rFonts w:ascii="Times New Roman" w:hAnsi="Times New Roman" w:cs="Times New Roman"/>
          <w:i/>
          <w:sz w:val="24"/>
          <w:szCs w:val="24"/>
        </w:rPr>
        <w:t>(полное наименование первичной профсоюзной организации)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53BE6" w:rsidRPr="00526AC7" w:rsidTr="00253BE6">
        <w:tc>
          <w:tcPr>
            <w:tcW w:w="1101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организации:</w:t>
            </w:r>
          </w:p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Количество членов Профсоюза в</w:t>
            </w:r>
            <w:r w:rsidR="008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Охват профсоюзным членством</w:t>
            </w:r>
          </w:p>
        </w:tc>
        <w:tc>
          <w:tcPr>
            <w:tcW w:w="3191" w:type="dxa"/>
          </w:tcPr>
          <w:p w:rsidR="00253BE6" w:rsidRPr="00526AC7" w:rsidRDefault="00253BE6" w:rsidP="00BB74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_______  чел.</w:t>
            </w:r>
          </w:p>
          <w:p w:rsidR="00253BE6" w:rsidRPr="00526AC7" w:rsidRDefault="00253BE6" w:rsidP="00BB74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_____   чел.</w:t>
            </w:r>
          </w:p>
          <w:p w:rsidR="00253BE6" w:rsidRPr="00526AC7" w:rsidRDefault="00253BE6" w:rsidP="008622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_______  %</w:t>
            </w:r>
          </w:p>
        </w:tc>
      </w:tr>
      <w:tr w:rsidR="00253BE6" w:rsidRPr="00526AC7" w:rsidTr="00253BE6">
        <w:tc>
          <w:tcPr>
            <w:tcW w:w="1101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Разделы профсоюзного уголка</w:t>
            </w:r>
          </w:p>
        </w:tc>
        <w:tc>
          <w:tcPr>
            <w:tcW w:w="3191" w:type="dxa"/>
          </w:tcPr>
          <w:p w:rsidR="00253BE6" w:rsidRPr="00526AC7" w:rsidRDefault="00253BE6" w:rsidP="00BB74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E6" w:rsidRPr="00526AC7" w:rsidTr="00253BE6">
        <w:tc>
          <w:tcPr>
            <w:tcW w:w="1101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</w:t>
            </w:r>
          </w:p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профсоюзного уголка</w:t>
            </w:r>
          </w:p>
        </w:tc>
        <w:tc>
          <w:tcPr>
            <w:tcW w:w="3191" w:type="dxa"/>
          </w:tcPr>
          <w:p w:rsidR="00253BE6" w:rsidRPr="00526AC7" w:rsidRDefault="00253BE6" w:rsidP="00BB74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E6" w:rsidRPr="00526AC7" w:rsidTr="00253BE6">
        <w:tc>
          <w:tcPr>
            <w:tcW w:w="1101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документов:</w:t>
            </w:r>
          </w:p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 xml:space="preserve">-   ранее </w:t>
            </w:r>
            <w:proofErr w:type="gramStart"/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выставлявшихся</w:t>
            </w:r>
            <w:proofErr w:type="gramEnd"/>
            <w:r w:rsidRPr="00526AC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профсоюзном стенде;</w:t>
            </w:r>
          </w:p>
          <w:p w:rsidR="00253BE6" w:rsidRPr="00526AC7" w:rsidRDefault="00253BE6" w:rsidP="008622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-  планируемых к  выставлению</w:t>
            </w:r>
            <w:r w:rsidR="008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(в разрезе тематических разделов)</w:t>
            </w:r>
          </w:p>
        </w:tc>
        <w:tc>
          <w:tcPr>
            <w:tcW w:w="3191" w:type="dxa"/>
          </w:tcPr>
          <w:p w:rsidR="00253BE6" w:rsidRPr="00526AC7" w:rsidRDefault="00253BE6" w:rsidP="00BB74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E6" w:rsidRPr="00526AC7" w:rsidTr="00253BE6">
        <w:tc>
          <w:tcPr>
            <w:tcW w:w="1101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253BE6" w:rsidRPr="00526AC7" w:rsidRDefault="00253BE6" w:rsidP="00BB7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Перечень фотоматериалов профсоюзного  уголка</w:t>
            </w:r>
          </w:p>
        </w:tc>
        <w:tc>
          <w:tcPr>
            <w:tcW w:w="3191" w:type="dxa"/>
          </w:tcPr>
          <w:p w:rsidR="00253BE6" w:rsidRPr="00526AC7" w:rsidRDefault="00253BE6" w:rsidP="00BB74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AC7" w:rsidRDefault="00526AC7" w:rsidP="00526AC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6AC7" w:rsidRDefault="004C1D61" w:rsidP="00526AC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6AC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26AC7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4C1D61" w:rsidRPr="00526AC7" w:rsidRDefault="004C1D61" w:rsidP="00526AC7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AC7">
        <w:rPr>
          <w:rFonts w:ascii="Times New Roman" w:hAnsi="Times New Roman" w:cs="Times New Roman"/>
          <w:b/>
          <w:sz w:val="24"/>
          <w:szCs w:val="24"/>
        </w:rPr>
        <w:t xml:space="preserve">Смета расходов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C1D61" w:rsidRPr="00526AC7" w:rsidTr="004C1D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D45ED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D45ED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D45ED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>Сумма (в руб.)</w:t>
            </w:r>
          </w:p>
        </w:tc>
      </w:tr>
      <w:tr w:rsidR="004C1D61" w:rsidRPr="00526AC7" w:rsidTr="004C1D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 xml:space="preserve">7000 </w:t>
            </w:r>
          </w:p>
        </w:tc>
      </w:tr>
      <w:tr w:rsidR="004C1D61" w:rsidRPr="00526AC7" w:rsidTr="004C1D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за II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4C1D61" w:rsidRPr="00526AC7" w:rsidTr="004C1D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>за III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26AC7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</w:p>
        </w:tc>
      </w:tr>
      <w:tr w:rsidR="004C1D61" w:rsidRPr="00526AC7" w:rsidTr="004C1D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1" w:rsidRPr="00526AC7" w:rsidRDefault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D45ED7" w:rsidRDefault="004C1D61">
            <w:pPr>
              <w:widowControl w:val="0"/>
              <w:suppressAutoHyphens/>
              <w:spacing w:after="160" w:line="254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61" w:rsidRPr="00D45ED7" w:rsidRDefault="004C1D61" w:rsidP="004C1D61">
            <w:pPr>
              <w:widowControl w:val="0"/>
              <w:suppressAutoHyphens/>
              <w:spacing w:after="160" w:line="254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D45ED7"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</w:tr>
    </w:tbl>
    <w:p w:rsidR="004C1D61" w:rsidRPr="00526AC7" w:rsidRDefault="004C1D61" w:rsidP="00BB74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C1D61" w:rsidRPr="0052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7AD"/>
    <w:multiLevelType w:val="hybridMultilevel"/>
    <w:tmpl w:val="780A7276"/>
    <w:lvl w:ilvl="0" w:tplc="B906B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176FA"/>
    <w:multiLevelType w:val="hybridMultilevel"/>
    <w:tmpl w:val="BDB8CC54"/>
    <w:lvl w:ilvl="0" w:tplc="F33CD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44"/>
    <w:rsid w:val="00253BE6"/>
    <w:rsid w:val="003B7AB6"/>
    <w:rsid w:val="00403671"/>
    <w:rsid w:val="004C1D61"/>
    <w:rsid w:val="00526AC7"/>
    <w:rsid w:val="006B00F5"/>
    <w:rsid w:val="00706A2C"/>
    <w:rsid w:val="008622E0"/>
    <w:rsid w:val="008A4B44"/>
    <w:rsid w:val="00BB74D6"/>
    <w:rsid w:val="00D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F5"/>
    <w:pPr>
      <w:ind w:left="720"/>
      <w:contextualSpacing/>
    </w:pPr>
  </w:style>
  <w:style w:type="table" w:styleId="a4">
    <w:name w:val="Table Grid"/>
    <w:basedOn w:val="a1"/>
    <w:uiPriority w:val="59"/>
    <w:rsid w:val="0025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F5"/>
    <w:pPr>
      <w:ind w:left="720"/>
      <w:contextualSpacing/>
    </w:pPr>
  </w:style>
  <w:style w:type="table" w:styleId="a4">
    <w:name w:val="Table Grid"/>
    <w:basedOn w:val="a1"/>
    <w:uiPriority w:val="59"/>
    <w:rsid w:val="0025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316Buxgalter</dc:creator>
  <cp:lastModifiedBy>316Buxgalter</cp:lastModifiedBy>
  <cp:revision>7</cp:revision>
  <dcterms:created xsi:type="dcterms:W3CDTF">2024-01-17T09:36:00Z</dcterms:created>
  <dcterms:modified xsi:type="dcterms:W3CDTF">2025-01-16T11:29:00Z</dcterms:modified>
</cp:coreProperties>
</file>