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FCA" w:rsidRPr="00653B0D" w:rsidRDefault="00035D45">
      <w:pPr>
        <w:pStyle w:val="1"/>
        <w:rPr>
          <w:rFonts w:ascii="Times New Roman" w:hAnsi="Times New Roman" w:cs="Times New Roman"/>
          <w:color w:val="auto"/>
          <w:sz w:val="28"/>
          <w:szCs w:val="28"/>
        </w:rPr>
      </w:pPr>
      <w:r w:rsidRPr="00653B0D">
        <w:rPr>
          <w:rFonts w:ascii="Times New Roman" w:hAnsi="Times New Roman" w:cs="Times New Roman"/>
          <w:color w:val="auto"/>
          <w:sz w:val="28"/>
          <w:szCs w:val="28"/>
        </w:rPr>
        <w:t>Письмо Министерства труда и социальной защиты РФ от 5 июня 2018</w:t>
      </w:r>
      <w:r w:rsidR="00653B0D" w:rsidRPr="00653B0D">
        <w:rPr>
          <w:rFonts w:ascii="Times New Roman" w:hAnsi="Times New Roman" w:cs="Times New Roman"/>
          <w:color w:val="auto"/>
          <w:sz w:val="28"/>
          <w:szCs w:val="28"/>
        </w:rPr>
        <w:t xml:space="preserve"> </w:t>
      </w:r>
      <w:r w:rsidRPr="00653B0D">
        <w:rPr>
          <w:rFonts w:ascii="Times New Roman" w:hAnsi="Times New Roman" w:cs="Times New Roman"/>
          <w:color w:val="auto"/>
          <w:sz w:val="28"/>
          <w:szCs w:val="28"/>
        </w:rPr>
        <w:t>г. N</w:t>
      </w:r>
      <w:r w:rsidR="00653B0D" w:rsidRPr="00653B0D">
        <w:rPr>
          <w:rFonts w:ascii="Times New Roman" w:hAnsi="Times New Roman" w:cs="Times New Roman"/>
          <w:color w:val="auto"/>
          <w:sz w:val="28"/>
          <w:szCs w:val="28"/>
        </w:rPr>
        <w:t xml:space="preserve"> </w:t>
      </w:r>
      <w:r w:rsidRPr="00653B0D">
        <w:rPr>
          <w:rFonts w:ascii="Times New Roman" w:hAnsi="Times New Roman" w:cs="Times New Roman"/>
          <w:color w:val="auto"/>
          <w:sz w:val="28"/>
          <w:szCs w:val="28"/>
        </w:rPr>
        <w:t>14-0/10/В-4085</w:t>
      </w:r>
    </w:p>
    <w:p w:rsidR="00841FCA" w:rsidRPr="00653B0D" w:rsidRDefault="00841FCA">
      <w:pPr>
        <w:rPr>
          <w:sz w:val="28"/>
          <w:szCs w:val="28"/>
        </w:rPr>
      </w:pPr>
    </w:p>
    <w:p w:rsidR="00841FCA" w:rsidRPr="00653B0D" w:rsidRDefault="00035D45">
      <w:pPr>
        <w:rPr>
          <w:sz w:val="28"/>
          <w:szCs w:val="28"/>
        </w:rPr>
      </w:pPr>
      <w:r w:rsidRPr="00653B0D">
        <w:rPr>
          <w:sz w:val="28"/>
          <w:szCs w:val="28"/>
        </w:rPr>
        <w:t xml:space="preserve">Минтруд России для использования в работе направляет </w:t>
      </w:r>
      <w:hyperlink w:anchor="sub_1000" w:history="1">
        <w:r w:rsidRPr="00653B0D">
          <w:rPr>
            <w:rStyle w:val="a4"/>
            <w:color w:val="auto"/>
            <w:sz w:val="28"/>
            <w:szCs w:val="28"/>
          </w:rPr>
          <w:t>информацию</w:t>
        </w:r>
      </w:hyperlink>
      <w:r w:rsidRPr="00653B0D">
        <w:rPr>
          <w:sz w:val="28"/>
          <w:szCs w:val="28"/>
        </w:rPr>
        <w:t xml:space="preserve"> по вопросам, связанным с повышением минимального </w:t>
      </w:r>
      <w:proofErr w:type="gramStart"/>
      <w:r w:rsidRPr="00653B0D">
        <w:rPr>
          <w:sz w:val="28"/>
          <w:szCs w:val="28"/>
        </w:rPr>
        <w:t>размера оплаты труда</w:t>
      </w:r>
      <w:proofErr w:type="gramEnd"/>
      <w:r w:rsidRPr="00653B0D">
        <w:rPr>
          <w:sz w:val="28"/>
          <w:szCs w:val="28"/>
        </w:rPr>
        <w:t>, подготовленную по итогам селекторного совещания 25 мая 2018</w:t>
      </w:r>
      <w:r w:rsidR="00EB2732">
        <w:rPr>
          <w:sz w:val="28"/>
          <w:szCs w:val="28"/>
        </w:rPr>
        <w:t xml:space="preserve"> </w:t>
      </w:r>
      <w:r w:rsidRPr="00653B0D">
        <w:rPr>
          <w:sz w:val="28"/>
          <w:szCs w:val="28"/>
        </w:rPr>
        <w:t>г.</w:t>
      </w:r>
    </w:p>
    <w:p w:rsidR="00841FCA" w:rsidRPr="00653B0D" w:rsidRDefault="00035D45">
      <w:pPr>
        <w:rPr>
          <w:sz w:val="28"/>
          <w:szCs w:val="28"/>
        </w:rPr>
      </w:pPr>
      <w:r w:rsidRPr="00653B0D">
        <w:rPr>
          <w:sz w:val="28"/>
          <w:szCs w:val="28"/>
        </w:rPr>
        <w:t>Приложение: на 3 л., в 1 экз.</w:t>
      </w:r>
    </w:p>
    <w:p w:rsidR="00841FCA" w:rsidRPr="00653B0D" w:rsidRDefault="00841FCA">
      <w:pPr>
        <w:rPr>
          <w:sz w:val="20"/>
          <w:szCs w:val="20"/>
        </w:rPr>
      </w:pPr>
    </w:p>
    <w:tbl>
      <w:tblPr>
        <w:tblW w:w="0" w:type="auto"/>
        <w:tblInd w:w="108" w:type="dxa"/>
        <w:tblLook w:val="0000"/>
      </w:tblPr>
      <w:tblGrid>
        <w:gridCol w:w="6603"/>
        <w:gridCol w:w="3364"/>
      </w:tblGrid>
      <w:tr w:rsidR="00841FCA" w:rsidRPr="00653B0D">
        <w:tc>
          <w:tcPr>
            <w:tcW w:w="6867" w:type="dxa"/>
            <w:tcBorders>
              <w:top w:val="nil"/>
              <w:left w:val="nil"/>
              <w:bottom w:val="nil"/>
              <w:right w:val="nil"/>
            </w:tcBorders>
          </w:tcPr>
          <w:p w:rsidR="00841FCA" w:rsidRPr="00653B0D" w:rsidRDefault="00841FCA">
            <w:pPr>
              <w:pStyle w:val="a5"/>
              <w:rPr>
                <w:sz w:val="28"/>
                <w:szCs w:val="28"/>
              </w:rPr>
            </w:pPr>
          </w:p>
        </w:tc>
        <w:tc>
          <w:tcPr>
            <w:tcW w:w="3432" w:type="dxa"/>
            <w:tcBorders>
              <w:top w:val="nil"/>
              <w:left w:val="nil"/>
              <w:bottom w:val="nil"/>
              <w:right w:val="nil"/>
            </w:tcBorders>
          </w:tcPr>
          <w:p w:rsidR="00841FCA" w:rsidRPr="00653B0D" w:rsidRDefault="00035D45">
            <w:pPr>
              <w:pStyle w:val="a5"/>
              <w:jc w:val="right"/>
              <w:rPr>
                <w:sz w:val="28"/>
                <w:szCs w:val="28"/>
              </w:rPr>
            </w:pPr>
            <w:r w:rsidRPr="00653B0D">
              <w:rPr>
                <w:sz w:val="28"/>
                <w:szCs w:val="28"/>
              </w:rPr>
              <w:t>Г.Г. Лекарев</w:t>
            </w:r>
          </w:p>
        </w:tc>
      </w:tr>
    </w:tbl>
    <w:p w:rsidR="00841FCA" w:rsidRPr="00653B0D" w:rsidRDefault="00841FCA">
      <w:pPr>
        <w:rPr>
          <w:sz w:val="20"/>
          <w:szCs w:val="20"/>
        </w:rPr>
      </w:pPr>
    </w:p>
    <w:p w:rsidR="00841FCA" w:rsidRPr="00653B0D" w:rsidRDefault="00035D45">
      <w:pPr>
        <w:ind w:firstLine="0"/>
        <w:jc w:val="right"/>
        <w:rPr>
          <w:sz w:val="28"/>
          <w:szCs w:val="28"/>
        </w:rPr>
      </w:pPr>
      <w:bookmarkStart w:id="0" w:name="sub_1000"/>
      <w:r w:rsidRPr="00653B0D">
        <w:rPr>
          <w:rStyle w:val="a3"/>
          <w:color w:val="auto"/>
          <w:sz w:val="28"/>
          <w:szCs w:val="28"/>
        </w:rPr>
        <w:t>Приложение</w:t>
      </w:r>
    </w:p>
    <w:bookmarkEnd w:id="0"/>
    <w:p w:rsidR="00841FCA" w:rsidRPr="00653B0D" w:rsidRDefault="00841FCA">
      <w:pPr>
        <w:rPr>
          <w:rFonts w:ascii="Times New Roman" w:hAnsi="Times New Roman" w:cs="Times New Roman"/>
          <w:sz w:val="20"/>
          <w:szCs w:val="20"/>
        </w:rPr>
      </w:pPr>
    </w:p>
    <w:p w:rsidR="00841FCA" w:rsidRPr="00653B0D" w:rsidRDefault="00035D45">
      <w:pPr>
        <w:pStyle w:val="1"/>
        <w:rPr>
          <w:color w:val="auto"/>
          <w:sz w:val="28"/>
          <w:szCs w:val="28"/>
        </w:rPr>
      </w:pPr>
      <w:r w:rsidRPr="00653B0D">
        <w:rPr>
          <w:color w:val="auto"/>
          <w:sz w:val="28"/>
          <w:szCs w:val="28"/>
        </w:rPr>
        <w:t xml:space="preserve">Информация по вопросам, связанным с повышением минимального </w:t>
      </w:r>
      <w:proofErr w:type="gramStart"/>
      <w:r w:rsidRPr="00653B0D">
        <w:rPr>
          <w:color w:val="auto"/>
          <w:sz w:val="28"/>
          <w:szCs w:val="28"/>
        </w:rPr>
        <w:t>размера оплаты труда</w:t>
      </w:r>
      <w:proofErr w:type="gramEnd"/>
      <w:r w:rsidRPr="00653B0D">
        <w:rPr>
          <w:color w:val="auto"/>
          <w:sz w:val="28"/>
          <w:szCs w:val="28"/>
        </w:rPr>
        <w:t xml:space="preserve"> (МРОТ)</w:t>
      </w:r>
    </w:p>
    <w:p w:rsidR="00841FCA" w:rsidRPr="00653B0D" w:rsidRDefault="00841FCA">
      <w:pPr>
        <w:rPr>
          <w:sz w:val="28"/>
          <w:szCs w:val="28"/>
        </w:rPr>
      </w:pPr>
    </w:p>
    <w:p w:rsidR="00841FCA" w:rsidRPr="00653B0D" w:rsidRDefault="00035D45">
      <w:pPr>
        <w:rPr>
          <w:sz w:val="28"/>
          <w:szCs w:val="28"/>
        </w:rPr>
      </w:pPr>
      <w:r w:rsidRPr="00653B0D">
        <w:rPr>
          <w:rStyle w:val="a3"/>
          <w:color w:val="auto"/>
          <w:sz w:val="28"/>
          <w:szCs w:val="28"/>
        </w:rPr>
        <w:t>Вопрос</w:t>
      </w:r>
    </w:p>
    <w:p w:rsidR="00841FCA" w:rsidRPr="00653B0D" w:rsidRDefault="00035D45">
      <w:pPr>
        <w:rPr>
          <w:sz w:val="28"/>
          <w:szCs w:val="28"/>
        </w:rPr>
      </w:pPr>
      <w:r w:rsidRPr="00653B0D">
        <w:rPr>
          <w:sz w:val="28"/>
          <w:szCs w:val="28"/>
        </w:rPr>
        <w:t xml:space="preserve">В каком порядке учитывается премия за квартал при сравнении заработной платы с </w:t>
      </w:r>
      <w:hyperlink r:id="rId8" w:history="1">
        <w:r w:rsidRPr="00653B0D">
          <w:rPr>
            <w:rStyle w:val="a4"/>
            <w:color w:val="auto"/>
            <w:sz w:val="28"/>
            <w:szCs w:val="28"/>
          </w:rPr>
          <w:t>МРОТ</w:t>
        </w:r>
      </w:hyperlink>
      <w:r w:rsidRPr="00653B0D">
        <w:rPr>
          <w:sz w:val="28"/>
          <w:szCs w:val="28"/>
        </w:rPr>
        <w:t>?</w:t>
      </w:r>
    </w:p>
    <w:p w:rsidR="00841FCA" w:rsidRPr="00653B0D" w:rsidRDefault="00035D45">
      <w:pPr>
        <w:rPr>
          <w:sz w:val="28"/>
          <w:szCs w:val="28"/>
        </w:rPr>
      </w:pPr>
      <w:r w:rsidRPr="00653B0D">
        <w:rPr>
          <w:sz w:val="28"/>
          <w:szCs w:val="28"/>
        </w:rPr>
        <w:t>Можно ли в течени</w:t>
      </w:r>
      <w:proofErr w:type="gramStart"/>
      <w:r w:rsidRPr="00653B0D">
        <w:rPr>
          <w:sz w:val="28"/>
          <w:szCs w:val="28"/>
        </w:rPr>
        <w:t>и</w:t>
      </w:r>
      <w:proofErr w:type="gramEnd"/>
      <w:r w:rsidRPr="00653B0D">
        <w:rPr>
          <w:sz w:val="28"/>
          <w:szCs w:val="28"/>
        </w:rPr>
        <w:t xml:space="preserve"> года платить работнику заработную плату ниже </w:t>
      </w:r>
      <w:hyperlink r:id="rId9" w:history="1">
        <w:r w:rsidRPr="00653B0D">
          <w:rPr>
            <w:rStyle w:val="a4"/>
            <w:color w:val="auto"/>
            <w:sz w:val="28"/>
            <w:szCs w:val="28"/>
          </w:rPr>
          <w:t>МРОТ</w:t>
        </w:r>
      </w:hyperlink>
      <w:r w:rsidRPr="00653B0D">
        <w:rPr>
          <w:sz w:val="28"/>
          <w:szCs w:val="28"/>
        </w:rPr>
        <w:t>, если потом "компенсировать" недостающую сумму выплатой годовой премии?</w:t>
      </w:r>
    </w:p>
    <w:p w:rsidR="00841FCA" w:rsidRPr="00653B0D" w:rsidRDefault="00035D45">
      <w:pPr>
        <w:rPr>
          <w:sz w:val="28"/>
          <w:szCs w:val="28"/>
        </w:rPr>
      </w:pPr>
      <w:r w:rsidRPr="00653B0D">
        <w:rPr>
          <w:rStyle w:val="a3"/>
          <w:color w:val="auto"/>
          <w:sz w:val="28"/>
          <w:szCs w:val="28"/>
        </w:rPr>
        <w:t>Ответ</w:t>
      </w:r>
    </w:p>
    <w:p w:rsidR="00841FCA" w:rsidRPr="00653B0D" w:rsidRDefault="00035D45">
      <w:pPr>
        <w:rPr>
          <w:sz w:val="28"/>
          <w:szCs w:val="28"/>
        </w:rPr>
      </w:pPr>
      <w:r w:rsidRPr="00653B0D">
        <w:rPr>
          <w:sz w:val="28"/>
          <w:szCs w:val="28"/>
        </w:rPr>
        <w:t xml:space="preserve">В соответствии со </w:t>
      </w:r>
      <w:hyperlink r:id="rId10" w:history="1">
        <w:r w:rsidRPr="00653B0D">
          <w:rPr>
            <w:rStyle w:val="a4"/>
            <w:color w:val="auto"/>
            <w:sz w:val="28"/>
            <w:szCs w:val="28"/>
          </w:rPr>
          <w:t>статьей 133</w:t>
        </w:r>
      </w:hyperlink>
      <w:r w:rsidRPr="00653B0D">
        <w:rPr>
          <w:sz w:val="28"/>
          <w:szCs w:val="28"/>
        </w:rPr>
        <w:t xml:space="preserve"> ТК РФ месячная заработная плата работника, полностью отработавшего норму рабочего времени (выполнившего норму труда) должна быть не ниже </w:t>
      </w:r>
      <w:hyperlink r:id="rId11" w:history="1">
        <w:r w:rsidRPr="00653B0D">
          <w:rPr>
            <w:rStyle w:val="a4"/>
            <w:color w:val="auto"/>
            <w:sz w:val="28"/>
            <w:szCs w:val="28"/>
          </w:rPr>
          <w:t>МРОТ</w:t>
        </w:r>
      </w:hyperlink>
      <w:r w:rsidRPr="00653B0D">
        <w:rPr>
          <w:sz w:val="28"/>
          <w:szCs w:val="28"/>
        </w:rPr>
        <w:t xml:space="preserve">. Таким образом, квартальная премия за квартал (год) будет учитываться только в </w:t>
      </w:r>
      <w:proofErr w:type="gramStart"/>
      <w:r w:rsidRPr="00653B0D">
        <w:rPr>
          <w:sz w:val="28"/>
          <w:szCs w:val="28"/>
        </w:rPr>
        <w:t>месяце</w:t>
      </w:r>
      <w:proofErr w:type="gramEnd"/>
      <w:r w:rsidRPr="00653B0D">
        <w:rPr>
          <w:sz w:val="28"/>
          <w:szCs w:val="28"/>
        </w:rPr>
        <w:t xml:space="preserve"> в котором она начислена. Заработная плата за другие месяцы должна быть не ниже МРОТ с начислением на него "северных выплат" без учета премии который </w:t>
      </w:r>
      <w:proofErr w:type="gramStart"/>
      <w:r w:rsidRPr="00653B0D">
        <w:rPr>
          <w:sz w:val="28"/>
          <w:szCs w:val="28"/>
        </w:rPr>
        <w:t>работник</w:t>
      </w:r>
      <w:proofErr w:type="gramEnd"/>
      <w:r w:rsidRPr="00653B0D">
        <w:rPr>
          <w:sz w:val="28"/>
          <w:szCs w:val="28"/>
        </w:rPr>
        <w:t xml:space="preserve"> возможно получит по итогам работы за квартал (год).</w:t>
      </w:r>
    </w:p>
    <w:p w:rsidR="00841FCA" w:rsidRPr="00653B0D" w:rsidRDefault="00841FCA">
      <w:pPr>
        <w:rPr>
          <w:sz w:val="28"/>
          <w:szCs w:val="28"/>
        </w:rPr>
      </w:pPr>
    </w:p>
    <w:p w:rsidR="00841FCA" w:rsidRPr="00653B0D" w:rsidRDefault="00035D45">
      <w:pPr>
        <w:rPr>
          <w:sz w:val="28"/>
          <w:szCs w:val="28"/>
        </w:rPr>
      </w:pPr>
      <w:r w:rsidRPr="00653B0D">
        <w:rPr>
          <w:rStyle w:val="a3"/>
          <w:color w:val="auto"/>
          <w:sz w:val="28"/>
          <w:szCs w:val="28"/>
        </w:rPr>
        <w:t>Вопрос</w:t>
      </w:r>
    </w:p>
    <w:p w:rsidR="00841FCA" w:rsidRPr="00653B0D" w:rsidRDefault="00035D45">
      <w:pPr>
        <w:rPr>
          <w:sz w:val="28"/>
          <w:szCs w:val="28"/>
        </w:rPr>
      </w:pPr>
      <w:r w:rsidRPr="00653B0D">
        <w:rPr>
          <w:sz w:val="28"/>
          <w:szCs w:val="28"/>
        </w:rPr>
        <w:t xml:space="preserve">Каким образом оплачивается "не ниже </w:t>
      </w:r>
      <w:hyperlink r:id="rId12" w:history="1">
        <w:r w:rsidRPr="00653B0D">
          <w:rPr>
            <w:rStyle w:val="a4"/>
            <w:color w:val="auto"/>
            <w:sz w:val="28"/>
            <w:szCs w:val="28"/>
          </w:rPr>
          <w:t>МРОТ</w:t>
        </w:r>
      </w:hyperlink>
      <w:r w:rsidRPr="00653B0D">
        <w:rPr>
          <w:sz w:val="28"/>
          <w:szCs w:val="28"/>
        </w:rPr>
        <w:t>" труд работника, если он занят неполное рабочее время?</w:t>
      </w:r>
    </w:p>
    <w:p w:rsidR="00841FCA" w:rsidRPr="00653B0D" w:rsidRDefault="00035D45">
      <w:pPr>
        <w:rPr>
          <w:sz w:val="28"/>
          <w:szCs w:val="28"/>
        </w:rPr>
      </w:pPr>
      <w:r w:rsidRPr="00653B0D">
        <w:rPr>
          <w:rStyle w:val="a3"/>
          <w:color w:val="auto"/>
          <w:sz w:val="28"/>
          <w:szCs w:val="28"/>
        </w:rPr>
        <w:t>Ответ</w:t>
      </w:r>
    </w:p>
    <w:p w:rsidR="00841FCA" w:rsidRPr="00653B0D" w:rsidRDefault="00035D45">
      <w:pPr>
        <w:rPr>
          <w:sz w:val="28"/>
          <w:szCs w:val="28"/>
        </w:rPr>
      </w:pPr>
      <w:r w:rsidRPr="00653B0D">
        <w:rPr>
          <w:sz w:val="28"/>
          <w:szCs w:val="28"/>
        </w:rPr>
        <w:t xml:space="preserve">При работе в режиме неполного рабочего времени при повременной (повременно-премиальной) системе оплаты труда заработная плата начисляется работнику пропорционально отработанному времени, на не ниже </w:t>
      </w:r>
      <w:hyperlink r:id="rId13" w:history="1">
        <w:r w:rsidRPr="00653B0D">
          <w:rPr>
            <w:rStyle w:val="a4"/>
            <w:color w:val="auto"/>
            <w:sz w:val="28"/>
            <w:szCs w:val="28"/>
          </w:rPr>
          <w:t>МРОТ</w:t>
        </w:r>
      </w:hyperlink>
      <w:r w:rsidRPr="00653B0D">
        <w:rPr>
          <w:sz w:val="28"/>
          <w:szCs w:val="28"/>
        </w:rPr>
        <w:t xml:space="preserve"> в пересчете на полную месячную ставку.</w:t>
      </w:r>
    </w:p>
    <w:p w:rsidR="00841FCA" w:rsidRPr="00653B0D" w:rsidRDefault="00035D45">
      <w:pPr>
        <w:rPr>
          <w:sz w:val="28"/>
          <w:szCs w:val="28"/>
        </w:rPr>
      </w:pPr>
      <w:r w:rsidRPr="00653B0D">
        <w:rPr>
          <w:sz w:val="28"/>
          <w:szCs w:val="28"/>
        </w:rPr>
        <w:t xml:space="preserve">Следует отметить, что если работодатель формально сократив рабочее время </w:t>
      </w:r>
      <w:proofErr w:type="gramStart"/>
      <w:r w:rsidRPr="00653B0D">
        <w:rPr>
          <w:sz w:val="28"/>
          <w:szCs w:val="28"/>
        </w:rPr>
        <w:t>работника</w:t>
      </w:r>
      <w:proofErr w:type="gramEnd"/>
      <w:r w:rsidRPr="00653B0D">
        <w:rPr>
          <w:sz w:val="28"/>
          <w:szCs w:val="28"/>
        </w:rPr>
        <w:t xml:space="preserve"> будет требовать от него фактически отрабатывать полное рабочее время, то работу за пределами установленной ему продолжительности рабочего времени можно рассматривать как сверхурочную работу осуществляемую без надлежащего оформления. Такая работа должна будет дополнительно оплачена в повышенном размере в соответствии с нормами </w:t>
      </w:r>
      <w:hyperlink r:id="rId14" w:history="1">
        <w:r w:rsidRPr="00653B0D">
          <w:rPr>
            <w:rStyle w:val="a4"/>
            <w:color w:val="auto"/>
            <w:sz w:val="28"/>
            <w:szCs w:val="28"/>
          </w:rPr>
          <w:t>Трудового кодекса</w:t>
        </w:r>
      </w:hyperlink>
      <w:r w:rsidRPr="00653B0D">
        <w:rPr>
          <w:sz w:val="28"/>
          <w:szCs w:val="28"/>
        </w:rPr>
        <w:t xml:space="preserve"> Российской Федерации.</w:t>
      </w:r>
    </w:p>
    <w:p w:rsidR="00841FCA" w:rsidRPr="00653B0D" w:rsidRDefault="00841FCA">
      <w:pPr>
        <w:rPr>
          <w:sz w:val="28"/>
          <w:szCs w:val="28"/>
        </w:rPr>
      </w:pPr>
    </w:p>
    <w:p w:rsidR="00841FCA" w:rsidRPr="00653B0D" w:rsidRDefault="00035D45">
      <w:pPr>
        <w:rPr>
          <w:sz w:val="28"/>
          <w:szCs w:val="28"/>
        </w:rPr>
      </w:pPr>
      <w:r w:rsidRPr="00653B0D">
        <w:rPr>
          <w:rStyle w:val="a3"/>
          <w:color w:val="auto"/>
          <w:sz w:val="28"/>
          <w:szCs w:val="28"/>
        </w:rPr>
        <w:t>Вопрос</w:t>
      </w:r>
    </w:p>
    <w:p w:rsidR="00841FCA" w:rsidRPr="00653B0D" w:rsidRDefault="00035D45">
      <w:pPr>
        <w:rPr>
          <w:sz w:val="28"/>
          <w:szCs w:val="28"/>
        </w:rPr>
      </w:pPr>
      <w:r w:rsidRPr="00653B0D">
        <w:rPr>
          <w:sz w:val="28"/>
          <w:szCs w:val="28"/>
        </w:rPr>
        <w:t xml:space="preserve">Каким образом обеспечивается заработная плата не ниже </w:t>
      </w:r>
      <w:hyperlink r:id="rId15" w:history="1">
        <w:r w:rsidRPr="00653B0D">
          <w:rPr>
            <w:rStyle w:val="a4"/>
            <w:color w:val="auto"/>
            <w:sz w:val="28"/>
            <w:szCs w:val="28"/>
          </w:rPr>
          <w:t>МРОТ</w:t>
        </w:r>
      </w:hyperlink>
      <w:r w:rsidRPr="00653B0D">
        <w:rPr>
          <w:sz w:val="28"/>
          <w:szCs w:val="28"/>
        </w:rPr>
        <w:t xml:space="preserve"> если </w:t>
      </w:r>
      <w:r w:rsidRPr="00653B0D">
        <w:rPr>
          <w:sz w:val="28"/>
          <w:szCs w:val="28"/>
        </w:rPr>
        <w:lastRenderedPageBreak/>
        <w:t>работник занят на условиях внутреннего совместительства</w:t>
      </w:r>
      <w:proofErr w:type="gramStart"/>
      <w:r w:rsidRPr="00653B0D">
        <w:rPr>
          <w:sz w:val="28"/>
          <w:szCs w:val="28"/>
        </w:rPr>
        <w:t xml:space="preserve"> ?</w:t>
      </w:r>
      <w:proofErr w:type="gramEnd"/>
    </w:p>
    <w:p w:rsidR="00841FCA" w:rsidRPr="00653B0D" w:rsidRDefault="00035D45">
      <w:pPr>
        <w:rPr>
          <w:sz w:val="28"/>
          <w:szCs w:val="28"/>
        </w:rPr>
      </w:pPr>
      <w:r w:rsidRPr="00653B0D">
        <w:rPr>
          <w:rStyle w:val="a3"/>
          <w:color w:val="auto"/>
          <w:sz w:val="28"/>
          <w:szCs w:val="28"/>
        </w:rPr>
        <w:t>Ответ</w:t>
      </w:r>
    </w:p>
    <w:p w:rsidR="00841FCA" w:rsidRPr="00653B0D" w:rsidRDefault="00035D45">
      <w:pPr>
        <w:rPr>
          <w:sz w:val="28"/>
          <w:szCs w:val="28"/>
        </w:rPr>
      </w:pPr>
      <w:r w:rsidRPr="00653B0D">
        <w:rPr>
          <w:sz w:val="28"/>
          <w:szCs w:val="28"/>
        </w:rPr>
        <w:t xml:space="preserve">Следует учитывать, что трудовые договора по основному месту работы и при работе на условиях </w:t>
      </w:r>
      <w:proofErr w:type="gramStart"/>
      <w:r w:rsidRPr="00653B0D">
        <w:rPr>
          <w:sz w:val="28"/>
          <w:szCs w:val="28"/>
        </w:rPr>
        <w:t>совместительства</w:t>
      </w:r>
      <w:proofErr w:type="gramEnd"/>
      <w:r w:rsidRPr="00653B0D">
        <w:rPr>
          <w:sz w:val="28"/>
          <w:szCs w:val="28"/>
        </w:rPr>
        <w:t xml:space="preserve"> в том числе и внутреннего заключаются отдельно. Соответственно, достижение </w:t>
      </w:r>
      <w:hyperlink r:id="rId16" w:history="1">
        <w:r w:rsidRPr="00653B0D">
          <w:rPr>
            <w:rStyle w:val="a4"/>
            <w:color w:val="auto"/>
            <w:sz w:val="28"/>
            <w:szCs w:val="28"/>
          </w:rPr>
          <w:t>МРОТ</w:t>
        </w:r>
      </w:hyperlink>
      <w:r w:rsidRPr="00653B0D">
        <w:rPr>
          <w:sz w:val="28"/>
          <w:szCs w:val="28"/>
        </w:rPr>
        <w:t xml:space="preserve"> также осуществляется отдельно. Если работник занят неполное рабочее время, то его заработная плата должна быть не ниже МРОТ в пересчете на полное рабочее время.</w:t>
      </w:r>
    </w:p>
    <w:p w:rsidR="00841FCA" w:rsidRPr="00653B0D" w:rsidRDefault="00841FCA">
      <w:pPr>
        <w:rPr>
          <w:sz w:val="28"/>
          <w:szCs w:val="28"/>
        </w:rPr>
      </w:pPr>
    </w:p>
    <w:p w:rsidR="00841FCA" w:rsidRPr="00653B0D" w:rsidRDefault="00035D45">
      <w:pPr>
        <w:rPr>
          <w:sz w:val="28"/>
          <w:szCs w:val="28"/>
        </w:rPr>
      </w:pPr>
      <w:r w:rsidRPr="00653B0D">
        <w:rPr>
          <w:rStyle w:val="a3"/>
          <w:color w:val="auto"/>
          <w:sz w:val="28"/>
          <w:szCs w:val="28"/>
        </w:rPr>
        <w:t>Вопрос</w:t>
      </w:r>
    </w:p>
    <w:p w:rsidR="00841FCA" w:rsidRPr="00653B0D" w:rsidRDefault="00035D45">
      <w:pPr>
        <w:rPr>
          <w:sz w:val="28"/>
          <w:szCs w:val="28"/>
        </w:rPr>
      </w:pPr>
      <w:r w:rsidRPr="00653B0D">
        <w:rPr>
          <w:sz w:val="28"/>
          <w:szCs w:val="28"/>
        </w:rPr>
        <w:t xml:space="preserve">Необходимо ли пересматривать размеры окладов работников в связи с повышением </w:t>
      </w:r>
      <w:hyperlink r:id="rId17" w:history="1">
        <w:r w:rsidRPr="00653B0D">
          <w:rPr>
            <w:rStyle w:val="a4"/>
            <w:color w:val="auto"/>
            <w:sz w:val="28"/>
            <w:szCs w:val="28"/>
          </w:rPr>
          <w:t>МРОТ</w:t>
        </w:r>
      </w:hyperlink>
      <w:r w:rsidRPr="00653B0D">
        <w:rPr>
          <w:sz w:val="28"/>
          <w:szCs w:val="28"/>
        </w:rPr>
        <w:t>?</w:t>
      </w:r>
    </w:p>
    <w:p w:rsidR="00841FCA" w:rsidRPr="00653B0D" w:rsidRDefault="00035D45">
      <w:pPr>
        <w:rPr>
          <w:sz w:val="28"/>
          <w:szCs w:val="28"/>
        </w:rPr>
      </w:pPr>
      <w:r w:rsidRPr="00653B0D">
        <w:rPr>
          <w:rStyle w:val="a3"/>
          <w:color w:val="auto"/>
          <w:sz w:val="28"/>
          <w:szCs w:val="28"/>
        </w:rPr>
        <w:t>Ответ</w:t>
      </w:r>
    </w:p>
    <w:p w:rsidR="00841FCA" w:rsidRPr="00653B0D" w:rsidRDefault="00035D45">
      <w:pPr>
        <w:rPr>
          <w:sz w:val="28"/>
          <w:szCs w:val="28"/>
        </w:rPr>
      </w:pPr>
      <w:r w:rsidRPr="00653B0D">
        <w:rPr>
          <w:sz w:val="28"/>
          <w:szCs w:val="28"/>
        </w:rPr>
        <w:t xml:space="preserve">Трудовым законодательством допускается установление окладов (тарифных ставок) как составных частей заработной платы работников в размере меньше </w:t>
      </w:r>
      <w:hyperlink r:id="rId18" w:history="1">
        <w:r w:rsidRPr="00653B0D">
          <w:rPr>
            <w:rStyle w:val="a4"/>
            <w:color w:val="auto"/>
            <w:sz w:val="28"/>
            <w:szCs w:val="28"/>
          </w:rPr>
          <w:t>МРОТ</w:t>
        </w:r>
      </w:hyperlink>
      <w:r w:rsidRPr="00653B0D">
        <w:rPr>
          <w:sz w:val="28"/>
          <w:szCs w:val="28"/>
        </w:rPr>
        <w:t>.</w:t>
      </w:r>
    </w:p>
    <w:p w:rsidR="00841FCA" w:rsidRPr="00653B0D" w:rsidRDefault="00035D45">
      <w:pPr>
        <w:rPr>
          <w:sz w:val="28"/>
          <w:szCs w:val="28"/>
        </w:rPr>
      </w:pPr>
      <w:r w:rsidRPr="00653B0D">
        <w:rPr>
          <w:sz w:val="28"/>
          <w:szCs w:val="28"/>
        </w:rPr>
        <w:t xml:space="preserve">Экспертной рабочей группой федерального уровня была рассмотрена и поддержана идея общественной инициативы "Не включать в минимальный </w:t>
      </w:r>
      <w:proofErr w:type="gramStart"/>
      <w:r w:rsidRPr="00653B0D">
        <w:rPr>
          <w:sz w:val="28"/>
          <w:szCs w:val="28"/>
        </w:rPr>
        <w:t>размер оплаты труда</w:t>
      </w:r>
      <w:proofErr w:type="gramEnd"/>
      <w:r w:rsidRPr="00653B0D">
        <w:rPr>
          <w:sz w:val="28"/>
          <w:szCs w:val="28"/>
        </w:rPr>
        <w:t xml:space="preserve"> (</w:t>
      </w:r>
      <w:hyperlink r:id="rId19" w:history="1">
        <w:r w:rsidRPr="00653B0D">
          <w:rPr>
            <w:rStyle w:val="a4"/>
            <w:color w:val="auto"/>
            <w:sz w:val="28"/>
            <w:szCs w:val="28"/>
          </w:rPr>
          <w:t>МРОТ</w:t>
        </w:r>
      </w:hyperlink>
      <w:r w:rsidRPr="00653B0D">
        <w:rPr>
          <w:sz w:val="28"/>
          <w:szCs w:val="28"/>
        </w:rPr>
        <w:t>) компенсационные и стимулирующие выплаты".</w:t>
      </w:r>
    </w:p>
    <w:p w:rsidR="00841FCA" w:rsidRPr="00653B0D" w:rsidRDefault="00035D45">
      <w:pPr>
        <w:rPr>
          <w:sz w:val="28"/>
          <w:szCs w:val="28"/>
        </w:rPr>
      </w:pPr>
      <w:r w:rsidRPr="00653B0D">
        <w:rPr>
          <w:sz w:val="28"/>
          <w:szCs w:val="28"/>
        </w:rPr>
        <w:t>Принимая это решение, Экспертная рабочая группа федерального уровня признала необходимым установление переходного периода для реализации общественной инициативы и дополнительную проработку предлагаемых общественной инициативой изменений трудового законодательства.</w:t>
      </w:r>
    </w:p>
    <w:p w:rsidR="00841FCA" w:rsidRPr="00653B0D" w:rsidRDefault="00035D45">
      <w:pPr>
        <w:rPr>
          <w:sz w:val="28"/>
          <w:szCs w:val="28"/>
        </w:rPr>
      </w:pPr>
      <w:r w:rsidRPr="00653B0D">
        <w:rPr>
          <w:sz w:val="28"/>
          <w:szCs w:val="28"/>
        </w:rPr>
        <w:t>В связи с этим Экспертной рабочей группой федерального уровня материалы общественной инициативы и экспертное заключение, подготовленное по результатам рассмотрения общественной инициативы, направлены в Российскую трехстороннюю комиссию по регулированию социально-трудовых отношений для проведения дополнительного обсуждения.</w:t>
      </w:r>
    </w:p>
    <w:p w:rsidR="00841FCA" w:rsidRPr="00653B0D" w:rsidRDefault="00035D45">
      <w:pPr>
        <w:rPr>
          <w:sz w:val="28"/>
          <w:szCs w:val="28"/>
        </w:rPr>
      </w:pPr>
      <w:r w:rsidRPr="00653B0D">
        <w:rPr>
          <w:sz w:val="28"/>
          <w:szCs w:val="28"/>
        </w:rPr>
        <w:t xml:space="preserve">Кроме того консультации по данному вопросу предусмотрены </w:t>
      </w:r>
      <w:hyperlink r:id="rId20" w:history="1">
        <w:r w:rsidRPr="00653B0D">
          <w:rPr>
            <w:rStyle w:val="a4"/>
            <w:color w:val="auto"/>
            <w:sz w:val="28"/>
            <w:szCs w:val="28"/>
          </w:rPr>
          <w:t>Генеральным соглашением</w:t>
        </w:r>
      </w:hyperlink>
      <w:r w:rsidRPr="00653B0D">
        <w:rPr>
          <w:sz w:val="28"/>
          <w:szCs w:val="28"/>
        </w:rPr>
        <w:t xml:space="preserve"> между общероссийскими объединениями профсоюзов, общероссийскими объединениями работодателей и Правительством Российской Федерации на 2018 - 2020 годы.</w:t>
      </w:r>
    </w:p>
    <w:p w:rsidR="00841FCA" w:rsidRPr="00653B0D" w:rsidRDefault="00035D45">
      <w:pPr>
        <w:rPr>
          <w:sz w:val="28"/>
          <w:szCs w:val="28"/>
        </w:rPr>
      </w:pPr>
      <w:r w:rsidRPr="00653B0D">
        <w:rPr>
          <w:sz w:val="28"/>
          <w:szCs w:val="28"/>
        </w:rPr>
        <w:t xml:space="preserve">При этом обращаем внимание, что положениями </w:t>
      </w:r>
      <w:hyperlink r:id="rId21" w:history="1">
        <w:r w:rsidRPr="00653B0D">
          <w:rPr>
            <w:rStyle w:val="a4"/>
            <w:color w:val="auto"/>
            <w:sz w:val="28"/>
            <w:szCs w:val="28"/>
          </w:rPr>
          <w:t>Единых рекомендации</w:t>
        </w:r>
      </w:hyperlink>
      <w:r w:rsidRPr="00653B0D">
        <w:rPr>
          <w:sz w:val="28"/>
          <w:szCs w:val="28"/>
        </w:rPr>
        <w:t xml:space="preserve"> по установлению на федеральном, региональном и местном уровнях систем оплаты </w:t>
      </w:r>
      <w:proofErr w:type="gramStart"/>
      <w:r w:rsidRPr="00653B0D">
        <w:rPr>
          <w:sz w:val="28"/>
          <w:szCs w:val="28"/>
        </w:rPr>
        <w:t xml:space="preserve">труда работников государственных и муниципальных учреждений на 2018 год, утвержденными в соответствии со </w:t>
      </w:r>
      <w:hyperlink r:id="rId22" w:history="1">
        <w:r w:rsidRPr="00653B0D">
          <w:rPr>
            <w:rStyle w:val="a4"/>
            <w:color w:val="auto"/>
            <w:sz w:val="28"/>
            <w:szCs w:val="28"/>
          </w:rPr>
          <w:t>статьей 135</w:t>
        </w:r>
      </w:hyperlink>
      <w:r w:rsidRPr="00653B0D">
        <w:rPr>
          <w:sz w:val="28"/>
          <w:szCs w:val="28"/>
        </w:rPr>
        <w:t xml:space="preserve"> Трудового кодекса Российской Федерации, решением Российской трехсторонней комиссии по регулированию социально-трудовых отношений от 22 декабря 2017 г. (протокол N 11), рекомендуется субъектам Российской Федерации осуществлять перераспределение средств в структуре заработной платы для ее оптимизации с учетом задач кадрового обеспечения учреждений и стимулирования работников к повышению</w:t>
      </w:r>
      <w:proofErr w:type="gramEnd"/>
      <w:r w:rsidRPr="00653B0D">
        <w:rPr>
          <w:sz w:val="28"/>
          <w:szCs w:val="28"/>
        </w:rPr>
        <w:t xml:space="preserve"> результатов труда.</w:t>
      </w:r>
    </w:p>
    <w:p w:rsidR="00841FCA" w:rsidRPr="00653B0D" w:rsidRDefault="00035D45">
      <w:pPr>
        <w:rPr>
          <w:sz w:val="28"/>
          <w:szCs w:val="28"/>
        </w:rPr>
      </w:pPr>
      <w:r w:rsidRPr="00653B0D">
        <w:rPr>
          <w:sz w:val="28"/>
          <w:szCs w:val="28"/>
        </w:rPr>
        <w:t>Так, для работников учреждений образования, культуры, здравоохранения рекомендуется доля должностных окладов в структуре заработной платы соответственно не ниже 70 процентов, 50-55 процентов, на уровне 55-60 процентов.</w:t>
      </w:r>
    </w:p>
    <w:p w:rsidR="00035D45" w:rsidRDefault="00035D45">
      <w:pPr>
        <w:rPr>
          <w:sz w:val="28"/>
          <w:szCs w:val="28"/>
        </w:rPr>
      </w:pPr>
    </w:p>
    <w:p w:rsidR="00EB2732" w:rsidRPr="00653B0D" w:rsidRDefault="00EB2732" w:rsidP="00F77C2B">
      <w:pPr>
        <w:ind w:firstLine="0"/>
        <w:rPr>
          <w:sz w:val="28"/>
          <w:szCs w:val="28"/>
        </w:rPr>
      </w:pPr>
    </w:p>
    <w:sectPr w:rsidR="00EB2732" w:rsidRPr="00653B0D" w:rsidSect="00653B0D">
      <w:headerReference w:type="default" r:id="rId23"/>
      <w:pgSz w:w="11900" w:h="16800"/>
      <w:pgMar w:top="680" w:right="680" w:bottom="680" w:left="1361" w:header="284" w:footer="28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7EE" w:rsidRDefault="008457EE" w:rsidP="00B63BB6">
      <w:r>
        <w:separator/>
      </w:r>
    </w:p>
  </w:endnote>
  <w:endnote w:type="continuationSeparator" w:id="0">
    <w:p w:rsidR="008457EE" w:rsidRDefault="008457EE" w:rsidP="00B63B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7EE" w:rsidRDefault="008457EE" w:rsidP="00B63BB6">
      <w:r>
        <w:separator/>
      </w:r>
    </w:p>
  </w:footnote>
  <w:footnote w:type="continuationSeparator" w:id="0">
    <w:p w:rsidR="008457EE" w:rsidRDefault="008457EE" w:rsidP="00B63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FCA" w:rsidRDefault="00841FCA">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7B4D"/>
    <w:rsid w:val="00035D45"/>
    <w:rsid w:val="002352C2"/>
    <w:rsid w:val="00653B0D"/>
    <w:rsid w:val="007B7B4D"/>
    <w:rsid w:val="00841FCA"/>
    <w:rsid w:val="008457EE"/>
    <w:rsid w:val="00EB2732"/>
    <w:rsid w:val="00F77C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CA"/>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841FCA"/>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841FCA"/>
    <w:rPr>
      <w:b/>
      <w:bCs/>
      <w:color w:val="26282F"/>
    </w:rPr>
  </w:style>
  <w:style w:type="character" w:customStyle="1" w:styleId="a4">
    <w:name w:val="Гипертекстовая ссылка"/>
    <w:basedOn w:val="a3"/>
    <w:uiPriority w:val="99"/>
    <w:rsid w:val="00841FCA"/>
    <w:rPr>
      <w:color w:val="106BBE"/>
    </w:rPr>
  </w:style>
  <w:style w:type="character" w:customStyle="1" w:styleId="10">
    <w:name w:val="Заголовок 1 Знак"/>
    <w:basedOn w:val="a0"/>
    <w:link w:val="1"/>
    <w:uiPriority w:val="9"/>
    <w:rsid w:val="00841FCA"/>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rsid w:val="00841FCA"/>
    <w:pPr>
      <w:ind w:firstLine="0"/>
    </w:pPr>
  </w:style>
  <w:style w:type="character" w:customStyle="1" w:styleId="a6">
    <w:name w:val="Цветовое выделение для Текст"/>
    <w:uiPriority w:val="99"/>
    <w:rsid w:val="00841FCA"/>
    <w:rPr>
      <w:rFonts w:ascii="Times New Roman CYR" w:hAnsi="Times New Roman CYR" w:cs="Times New Roman CYR"/>
    </w:rPr>
  </w:style>
  <w:style w:type="paragraph" w:styleId="a7">
    <w:name w:val="header"/>
    <w:basedOn w:val="a"/>
    <w:link w:val="a8"/>
    <w:uiPriority w:val="99"/>
    <w:semiHidden/>
    <w:unhideWhenUsed/>
    <w:rsid w:val="00841FCA"/>
    <w:pPr>
      <w:tabs>
        <w:tab w:val="center" w:pos="4677"/>
        <w:tab w:val="right" w:pos="9355"/>
      </w:tabs>
    </w:pPr>
  </w:style>
  <w:style w:type="character" w:customStyle="1" w:styleId="a8">
    <w:name w:val="Верхний колонтитул Знак"/>
    <w:basedOn w:val="a0"/>
    <w:link w:val="a7"/>
    <w:uiPriority w:val="99"/>
    <w:semiHidden/>
    <w:rsid w:val="00841FCA"/>
    <w:rPr>
      <w:rFonts w:ascii="Times New Roman CYR" w:hAnsi="Times New Roman CYR" w:cs="Times New Roman CYR"/>
      <w:sz w:val="24"/>
      <w:szCs w:val="24"/>
    </w:rPr>
  </w:style>
  <w:style w:type="paragraph" w:styleId="a9">
    <w:name w:val="footer"/>
    <w:basedOn w:val="a"/>
    <w:link w:val="aa"/>
    <w:uiPriority w:val="99"/>
    <w:semiHidden/>
    <w:unhideWhenUsed/>
    <w:rsid w:val="00841FCA"/>
    <w:pPr>
      <w:tabs>
        <w:tab w:val="center" w:pos="4677"/>
        <w:tab w:val="right" w:pos="9355"/>
      </w:tabs>
    </w:pPr>
  </w:style>
  <w:style w:type="character" w:customStyle="1" w:styleId="aa">
    <w:name w:val="Нижний колонтитул Знак"/>
    <w:basedOn w:val="a0"/>
    <w:link w:val="a9"/>
    <w:uiPriority w:val="99"/>
    <w:semiHidden/>
    <w:rsid w:val="00841FCA"/>
    <w:rPr>
      <w:rFonts w:ascii="Times New Roman CYR" w:hAnsi="Times New Roman CYR" w:cs="Times New Roman CYR"/>
      <w:sz w:val="24"/>
      <w:szCs w:val="24"/>
    </w:rPr>
  </w:style>
  <w:style w:type="paragraph" w:styleId="ab">
    <w:name w:val="Balloon Text"/>
    <w:basedOn w:val="a"/>
    <w:link w:val="ac"/>
    <w:uiPriority w:val="99"/>
    <w:semiHidden/>
    <w:unhideWhenUsed/>
    <w:rsid w:val="007B7B4D"/>
    <w:rPr>
      <w:rFonts w:ascii="Tahoma" w:hAnsi="Tahoma" w:cs="Tahoma"/>
      <w:sz w:val="16"/>
      <w:szCs w:val="16"/>
    </w:rPr>
  </w:style>
  <w:style w:type="character" w:customStyle="1" w:styleId="ac">
    <w:name w:val="Текст выноски Знак"/>
    <w:basedOn w:val="a0"/>
    <w:link w:val="ab"/>
    <w:uiPriority w:val="99"/>
    <w:semiHidden/>
    <w:rsid w:val="007B7B4D"/>
    <w:rPr>
      <w:rFonts w:ascii="Tahoma" w:hAnsi="Tahoma" w:cs="Tahoma"/>
      <w:sz w:val="16"/>
      <w:szCs w:val="16"/>
    </w:rPr>
  </w:style>
  <w:style w:type="paragraph" w:customStyle="1" w:styleId="s3">
    <w:name w:val="s_3"/>
    <w:basedOn w:val="a"/>
    <w:rsid w:val="00EB2732"/>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1">
    <w:name w:val="s_1"/>
    <w:basedOn w:val="a"/>
    <w:rsid w:val="00EB2732"/>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4359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0080093&amp;sub=0" TargetMode="External"/><Relationship Id="rId13" Type="http://schemas.openxmlformats.org/officeDocument/2006/relationships/hyperlink" Target="http://internet.garant.ru/document?id=10080093&amp;sub=0" TargetMode="External"/><Relationship Id="rId18" Type="http://schemas.openxmlformats.org/officeDocument/2006/relationships/hyperlink" Target="http://internet.garant.ru/document?id=10080093&amp;sub=0" TargetMode="External"/><Relationship Id="rId3" Type="http://schemas.openxmlformats.org/officeDocument/2006/relationships/styles" Target="styles.xml"/><Relationship Id="rId21" Type="http://schemas.openxmlformats.org/officeDocument/2006/relationships/hyperlink" Target="http://internet.garant.ru/document?id=71748512&amp;sub=0" TargetMode="External"/><Relationship Id="rId7" Type="http://schemas.openxmlformats.org/officeDocument/2006/relationships/endnotes" Target="endnotes.xml"/><Relationship Id="rId12" Type="http://schemas.openxmlformats.org/officeDocument/2006/relationships/hyperlink" Target="http://internet.garant.ru/document?id=10080093&amp;sub=0" TargetMode="External"/><Relationship Id="rId17" Type="http://schemas.openxmlformats.org/officeDocument/2006/relationships/hyperlink" Target="http://internet.garant.ru/document?id=10080093&amp;sub=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et.garant.ru/document?id=10080093&amp;sub=0" TargetMode="External"/><Relationship Id="rId20" Type="http://schemas.openxmlformats.org/officeDocument/2006/relationships/hyperlink" Target="http://internet.garant.ru/document?id=71771532&amp;su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id=10080093&amp;sub=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ernet.garant.ru/document?id=10080093&amp;sub=0" TargetMode="External"/><Relationship Id="rId23" Type="http://schemas.openxmlformats.org/officeDocument/2006/relationships/header" Target="header1.xml"/><Relationship Id="rId10" Type="http://schemas.openxmlformats.org/officeDocument/2006/relationships/hyperlink" Target="http://internet.garant.ru/document?id=12025268&amp;sub=133" TargetMode="External"/><Relationship Id="rId19" Type="http://schemas.openxmlformats.org/officeDocument/2006/relationships/hyperlink" Target="http://internet.garant.ru/document?id=10080093&amp;sub=0" TargetMode="External"/><Relationship Id="rId4" Type="http://schemas.openxmlformats.org/officeDocument/2006/relationships/settings" Target="settings.xml"/><Relationship Id="rId9" Type="http://schemas.openxmlformats.org/officeDocument/2006/relationships/hyperlink" Target="http://internet.garant.ru/document?id=10080093&amp;sub=0" TargetMode="External"/><Relationship Id="rId14" Type="http://schemas.openxmlformats.org/officeDocument/2006/relationships/hyperlink" Target="http://internet.garant.ru/document?id=12025268&amp;sub=0" TargetMode="External"/><Relationship Id="rId22" Type="http://schemas.openxmlformats.org/officeDocument/2006/relationships/hyperlink" Target="http://internet.garant.ru/document?id=12025268&amp;sub=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C0239-F2CF-4AD8-8C46-10D51D87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576</Words>
  <Characters>5043</Characters>
  <Application>Microsoft Office Word</Application>
  <DocSecurity>0</DocSecurity>
  <Lines>42</Lines>
  <Paragraphs>11</Paragraphs>
  <ScaleCrop>false</ScaleCrop>
  <Company>НПП "Гарант-Сервис"</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5</cp:revision>
  <dcterms:created xsi:type="dcterms:W3CDTF">2018-08-20T09:25:00Z</dcterms:created>
  <dcterms:modified xsi:type="dcterms:W3CDTF">2018-08-20T11:47:00Z</dcterms:modified>
</cp:coreProperties>
</file>